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7EEB" w14:textId="43F52147" w:rsidR="007F16CC" w:rsidRPr="00E64AC2" w:rsidRDefault="007F16CC" w:rsidP="007F16CC">
      <w:pPr>
        <w:spacing w:line="240" w:lineRule="auto"/>
        <w:jc w:val="center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sz w:val="40"/>
          <w:szCs w:val="40"/>
        </w:rPr>
        <w:t>ONE</w:t>
      </w:r>
      <w:r w:rsidR="001F7552">
        <w:rPr>
          <w:rFonts w:ascii="Calibri" w:hAnsi="Calibri" w:cs="Calibri"/>
          <w:sz w:val="40"/>
          <w:szCs w:val="40"/>
        </w:rPr>
        <w:t>-</w:t>
      </w:r>
      <w:r w:rsidRPr="00E64AC2">
        <w:rPr>
          <w:rFonts w:ascii="Calibri" w:hAnsi="Calibri" w:cs="Calibri"/>
          <w:sz w:val="40"/>
          <w:szCs w:val="40"/>
        </w:rPr>
        <w:t>PAGE EXEMPTIONS CHEAT SHEET</w:t>
      </w:r>
    </w:p>
    <w:p w14:paraId="7C85742E" w14:textId="77777777" w:rsidR="00E64AC2" w:rsidRPr="00E64AC2" w:rsidRDefault="00E64AC2" w:rsidP="00E64AC2">
      <w:pPr>
        <w:spacing w:line="240" w:lineRule="auto"/>
        <w:jc w:val="both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i/>
          <w:iCs/>
          <w:lang w:val="en-IN"/>
        </w:rPr>
        <w:t>(Act + Rules + Second Schedule. Effective 13 Nov 2025.)</w:t>
      </w:r>
    </w:p>
    <w:sdt>
      <w:sdtPr>
        <w:id w:val="189230285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559847BA" w14:textId="5CAEC916" w:rsidR="00E108D8" w:rsidRDefault="00E108D8">
          <w:pPr>
            <w:pStyle w:val="TOCHeading"/>
          </w:pPr>
          <w:r>
            <w:t>Contents</w:t>
          </w:r>
        </w:p>
        <w:p w14:paraId="2DE01FBA" w14:textId="24549F41" w:rsidR="00E108D8" w:rsidRDefault="00E108D8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3211" w:history="1">
            <w:r w:rsidRPr="000F68AF">
              <w:rPr>
                <w:rStyle w:val="Hyperlink"/>
                <w:b/>
                <w:bCs/>
                <w:noProof/>
                <w:lang w:val="en-IN"/>
              </w:rPr>
              <w:t>1. Core Structure of Exemptions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DECC1" w14:textId="67C2C8AC" w:rsidR="00E108D8" w:rsidRDefault="00E108D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212" w:history="1">
            <w:r w:rsidRPr="000F68AF">
              <w:rPr>
                <w:rStyle w:val="Hyperlink"/>
                <w:b/>
                <w:bCs/>
                <w:noProof/>
                <w:lang w:val="en-IN"/>
              </w:rPr>
              <w:t>2. Section 17(1) - Purpose-Based Exemptions (Non-State)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054D9" w14:textId="347DA709" w:rsidR="00E108D8" w:rsidRDefault="00E108D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213" w:history="1">
            <w:r w:rsidRPr="000F68AF">
              <w:rPr>
                <w:rStyle w:val="Hyperlink"/>
                <w:b/>
                <w:bCs/>
                <w:noProof/>
                <w:lang w:val="en-IN"/>
              </w:rPr>
              <w:t>3. Section 17(2) - State &amp; Government Exemptions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3CD2B" w14:textId="1F45C3C5" w:rsidR="00E108D8" w:rsidRDefault="00E108D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214" w:history="1">
            <w:r w:rsidRPr="000F68AF">
              <w:rPr>
                <w:rStyle w:val="Hyperlink"/>
                <w:b/>
                <w:bCs/>
                <w:noProof/>
                <w:lang w:val="en-IN"/>
              </w:rPr>
              <w:t>4. Second Schedule-Mandatory Standards When State Uses Exemptions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2B746" w14:textId="493F2BAD" w:rsidR="00E108D8" w:rsidRDefault="00E108D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215" w:history="1">
            <w:r w:rsidRPr="000F68AF">
              <w:rPr>
                <w:rStyle w:val="Hyperlink"/>
                <w:b/>
                <w:bCs/>
                <w:noProof/>
                <w:lang w:val="en-IN"/>
              </w:rPr>
              <w:t>5. Practical Summary - 10-Second Memory Hack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DCB4D" w14:textId="75CD6D87" w:rsidR="00E108D8" w:rsidRDefault="00E108D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216" w:history="1">
            <w:r w:rsidRPr="000F68AF">
              <w:rPr>
                <w:rStyle w:val="Hyperlink"/>
                <w:b/>
                <w:bCs/>
                <w:noProof/>
                <w:lang w:val="en-IN"/>
              </w:rPr>
              <w:t>6. What Stays Even When Exemptions Apply?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4903F" w14:textId="64EFC03D" w:rsidR="00E108D8" w:rsidRDefault="00E108D8">
          <w:r>
            <w:rPr>
              <w:b/>
              <w:bCs/>
              <w:noProof/>
            </w:rPr>
            <w:fldChar w:fldCharType="end"/>
          </w:r>
        </w:p>
      </w:sdtContent>
    </w:sdt>
    <w:p w14:paraId="3AFBBE35" w14:textId="77777777" w:rsidR="00E64AC2" w:rsidRPr="00E108D8" w:rsidRDefault="00E64AC2" w:rsidP="00E108D8">
      <w:pPr>
        <w:pStyle w:val="Heading1"/>
        <w:rPr>
          <w:b/>
          <w:bCs/>
          <w:sz w:val="28"/>
          <w:szCs w:val="28"/>
          <w:lang w:val="en-IN"/>
        </w:rPr>
      </w:pPr>
      <w:bookmarkStart w:id="0" w:name="_Toc214623211"/>
      <w:r w:rsidRPr="00E108D8">
        <w:rPr>
          <w:b/>
          <w:bCs/>
          <w:sz w:val="28"/>
          <w:szCs w:val="28"/>
          <w:lang w:val="en-IN"/>
        </w:rPr>
        <w:t>1. Core Structure of Exemptions</w:t>
      </w:r>
      <w:bookmarkEnd w:id="0"/>
    </w:p>
    <w:p w14:paraId="66BCD91C" w14:textId="77777777" w:rsidR="00E64AC2" w:rsidRPr="00E64AC2" w:rsidRDefault="00E64AC2" w:rsidP="00E64AC2">
      <w:pPr>
        <w:spacing w:line="240" w:lineRule="auto"/>
        <w:jc w:val="both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lang w:val="en-IN"/>
        </w:rPr>
        <w:t>The DPDP Act provides three layers of exemptions:</w:t>
      </w:r>
    </w:p>
    <w:p w14:paraId="75E1E98D" w14:textId="61437F37" w:rsidR="00E64AC2" w:rsidRPr="00E64AC2" w:rsidRDefault="00E64AC2" w:rsidP="00E64AC2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lang w:val="en-IN"/>
        </w:rPr>
        <w:t>Section 17(1): Purpose</w:t>
      </w:r>
      <w:r w:rsidR="001F7552">
        <w:rPr>
          <w:rFonts w:ascii="Calibri" w:hAnsi="Calibri" w:cs="Calibri"/>
          <w:lang w:val="en-IN"/>
        </w:rPr>
        <w:t>-</w:t>
      </w:r>
      <w:r w:rsidRPr="00E64AC2">
        <w:rPr>
          <w:rFonts w:ascii="Calibri" w:hAnsi="Calibri" w:cs="Calibri"/>
          <w:lang w:val="en-IN"/>
        </w:rPr>
        <w:t>based exemptions</w:t>
      </w:r>
    </w:p>
    <w:p w14:paraId="76C9B304" w14:textId="08041053" w:rsidR="00E64AC2" w:rsidRPr="00E64AC2" w:rsidRDefault="00E64AC2" w:rsidP="00E64AC2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lang w:val="en-IN"/>
        </w:rPr>
        <w:t>Section 17(2): State and special</w:t>
      </w:r>
      <w:r w:rsidR="001F7552">
        <w:rPr>
          <w:rFonts w:ascii="Calibri" w:hAnsi="Calibri" w:cs="Calibri"/>
          <w:lang w:val="en-IN"/>
        </w:rPr>
        <w:t>-</w:t>
      </w:r>
      <w:r w:rsidRPr="00E64AC2">
        <w:rPr>
          <w:rFonts w:ascii="Calibri" w:hAnsi="Calibri" w:cs="Calibri"/>
          <w:lang w:val="en-IN"/>
        </w:rPr>
        <w:t>category exemptions</w:t>
      </w:r>
    </w:p>
    <w:p w14:paraId="32E596C4" w14:textId="6B50A3F3" w:rsidR="00E64AC2" w:rsidRPr="00E64AC2" w:rsidRDefault="00E64AC2" w:rsidP="00E64AC2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lang w:val="en-IN"/>
        </w:rPr>
        <w:t>Rule</w:t>
      </w:r>
      <w:r w:rsidR="001F7552">
        <w:rPr>
          <w:rFonts w:ascii="Calibri" w:hAnsi="Calibri" w:cs="Calibri"/>
          <w:lang w:val="en-IN"/>
        </w:rPr>
        <w:t>-</w:t>
      </w:r>
      <w:r w:rsidRPr="00E64AC2">
        <w:rPr>
          <w:rFonts w:ascii="Calibri" w:hAnsi="Calibri" w:cs="Calibri"/>
          <w:lang w:val="en-IN"/>
        </w:rPr>
        <w:t>based exemptions + Second Schedule (for State processing standards)</w:t>
      </w:r>
    </w:p>
    <w:p w14:paraId="1CC7FF16" w14:textId="405FD487" w:rsidR="00E64AC2" w:rsidRPr="00E108D8" w:rsidRDefault="00E64AC2" w:rsidP="00E108D8">
      <w:pPr>
        <w:pStyle w:val="Heading1"/>
        <w:rPr>
          <w:b/>
          <w:bCs/>
          <w:sz w:val="28"/>
          <w:szCs w:val="28"/>
          <w:lang w:val="en-IN"/>
        </w:rPr>
      </w:pPr>
      <w:bookmarkStart w:id="1" w:name="_Toc214623212"/>
      <w:r w:rsidRPr="00E108D8">
        <w:rPr>
          <w:b/>
          <w:bCs/>
          <w:sz w:val="28"/>
          <w:szCs w:val="28"/>
          <w:lang w:val="en-IN"/>
        </w:rPr>
        <w:t xml:space="preserve">2. Section 17(1) </w:t>
      </w:r>
      <w:r w:rsidR="001F7552" w:rsidRPr="00E108D8">
        <w:rPr>
          <w:b/>
          <w:bCs/>
          <w:sz w:val="28"/>
          <w:szCs w:val="28"/>
          <w:lang w:val="en-IN"/>
        </w:rPr>
        <w:t xml:space="preserve">- </w:t>
      </w:r>
      <w:r w:rsidRPr="00E108D8">
        <w:rPr>
          <w:b/>
          <w:bCs/>
          <w:sz w:val="28"/>
          <w:szCs w:val="28"/>
          <w:lang w:val="en-IN"/>
        </w:rPr>
        <w:t>Purpose</w:t>
      </w:r>
      <w:r w:rsidR="001F7552" w:rsidRPr="00E108D8">
        <w:rPr>
          <w:b/>
          <w:bCs/>
          <w:sz w:val="28"/>
          <w:szCs w:val="28"/>
          <w:lang w:val="en-IN"/>
        </w:rPr>
        <w:t>-</w:t>
      </w:r>
      <w:r w:rsidRPr="00E108D8">
        <w:rPr>
          <w:b/>
          <w:bCs/>
          <w:sz w:val="28"/>
          <w:szCs w:val="28"/>
          <w:lang w:val="en-IN"/>
        </w:rPr>
        <w:t>Based Exemptions (Non</w:t>
      </w:r>
      <w:r w:rsidR="001F7552" w:rsidRPr="00E108D8">
        <w:rPr>
          <w:b/>
          <w:bCs/>
          <w:sz w:val="28"/>
          <w:szCs w:val="28"/>
          <w:lang w:val="en-IN"/>
        </w:rPr>
        <w:t>-</w:t>
      </w:r>
      <w:r w:rsidRPr="00E108D8">
        <w:rPr>
          <w:b/>
          <w:bCs/>
          <w:sz w:val="28"/>
          <w:szCs w:val="28"/>
          <w:lang w:val="en-IN"/>
        </w:rPr>
        <w:t>State)</w:t>
      </w:r>
      <w:bookmarkEnd w:id="1"/>
    </w:p>
    <w:p w14:paraId="4275FBB8" w14:textId="78484E6D" w:rsidR="00F30805" w:rsidRDefault="00E64AC2" w:rsidP="00E64AC2">
      <w:pPr>
        <w:spacing w:line="240" w:lineRule="auto"/>
        <w:jc w:val="both"/>
        <w:rPr>
          <w:rFonts w:ascii="Calibri" w:hAnsi="Calibri" w:cs="Calibri"/>
          <w:lang w:val="en-IN"/>
        </w:rPr>
      </w:pPr>
      <w:r w:rsidRPr="00E64AC2">
        <w:rPr>
          <w:rFonts w:ascii="Calibri" w:hAnsi="Calibri" w:cs="Calibri"/>
          <w:lang w:val="en-IN"/>
        </w:rPr>
        <w:t xml:space="preserve">When any of the following apply, Chapter II </w:t>
      </w:r>
      <w:r w:rsidR="009E50CF" w:rsidRPr="009E50CF">
        <w:rPr>
          <w:rFonts w:ascii="Calibri" w:hAnsi="Calibri" w:cs="Calibri"/>
        </w:rPr>
        <w:t>(Contains Sections 5</w:t>
      </w:r>
      <w:r w:rsidR="001F7552">
        <w:rPr>
          <w:rFonts w:ascii="Calibri" w:hAnsi="Calibri" w:cs="Calibri"/>
        </w:rPr>
        <w:t xml:space="preserve"> - </w:t>
      </w:r>
      <w:r w:rsidR="009E50CF" w:rsidRPr="009E50CF">
        <w:rPr>
          <w:rFonts w:ascii="Calibri" w:hAnsi="Calibri" w:cs="Calibri"/>
        </w:rPr>
        <w:t>11: notice, consent, purpose limitation, accuracy, security safeguards, breach notification, significant data fiduciaries)</w:t>
      </w:r>
      <w:r w:rsidR="009E50CF">
        <w:rPr>
          <w:rFonts w:ascii="Calibri" w:hAnsi="Calibri" w:cs="Calibri"/>
        </w:rPr>
        <w:t xml:space="preserve"> </w:t>
      </w:r>
      <w:r w:rsidRPr="00E64AC2">
        <w:rPr>
          <w:rFonts w:ascii="Calibri" w:hAnsi="Calibri" w:cs="Calibri"/>
          <w:lang w:val="en-IN"/>
        </w:rPr>
        <w:t>does NOT apply (except</w:t>
      </w:r>
      <w:r w:rsidR="00F30805">
        <w:rPr>
          <w:rFonts w:ascii="Calibri" w:hAnsi="Calibri" w:cs="Calibri"/>
          <w:lang w:val="en-IN"/>
        </w:rPr>
        <w:t xml:space="preserve"> </w:t>
      </w:r>
    </w:p>
    <w:p w14:paraId="3F91AE02" w14:textId="470095CA" w:rsidR="00E64AC2" w:rsidRPr="00E108D8" w:rsidRDefault="00626DA5" w:rsidP="00E64AC2">
      <w:pPr>
        <w:spacing w:line="240" w:lineRule="auto"/>
        <w:jc w:val="both"/>
        <w:rPr>
          <w:rFonts w:ascii="Calibri" w:hAnsi="Calibri" w:cs="Calibri"/>
          <w:color w:val="D9D9D9" w:themeColor="background1" w:themeShade="D9"/>
          <w:lang w:val="en-IN"/>
        </w:rPr>
      </w:pPr>
      <w:r w:rsidRPr="00E108D8">
        <w:rPr>
          <w:rFonts w:ascii="Calibri" w:hAnsi="Calibri" w:cs="Calibri"/>
          <w:color w:val="D9D9D9" w:themeColor="background1" w:themeShade="D9"/>
        </w:rPr>
        <w:t>•</w:t>
      </w:r>
      <w:r w:rsidRPr="00E108D8">
        <w:rPr>
          <w:rFonts w:ascii="Calibri" w:hAnsi="Calibri" w:cs="Calibri"/>
          <w:b/>
          <w:bCs/>
          <w:color w:val="D9D9D9" w:themeColor="background1" w:themeShade="D9"/>
        </w:rPr>
        <w:t>Section 8(1)</w:t>
      </w:r>
      <w:r w:rsidRPr="00E108D8">
        <w:rPr>
          <w:rFonts w:ascii="Calibri" w:hAnsi="Calibri" w:cs="Calibri"/>
          <w:color w:val="D9D9D9" w:themeColor="background1" w:themeShade="D9"/>
        </w:rPr>
        <w:t xml:space="preserve"> </w:t>
      </w:r>
      <w:r w:rsidR="001E2BEA" w:rsidRPr="00E108D8">
        <w:rPr>
          <w:rFonts w:ascii="Calibri" w:hAnsi="Calibri" w:cs="Calibri"/>
          <w:color w:val="D9D9D9" w:themeColor="background1" w:themeShade="D9"/>
        </w:rPr>
        <w:t>-&gt;</w:t>
      </w:r>
      <w:r w:rsidRPr="00E108D8">
        <w:rPr>
          <w:rFonts w:ascii="Calibri" w:hAnsi="Calibri" w:cs="Calibri"/>
          <w:color w:val="D9D9D9" w:themeColor="background1" w:themeShade="D9"/>
        </w:rPr>
        <w:t xml:space="preserve"> Obligation to implement reasonable security safeguards.</w:t>
      </w:r>
      <w:r w:rsidRPr="00E108D8">
        <w:rPr>
          <w:rFonts w:ascii="Calibri" w:hAnsi="Calibri" w:cs="Calibri"/>
          <w:color w:val="D9D9D9" w:themeColor="background1" w:themeShade="D9"/>
        </w:rPr>
        <w:br/>
        <w:t xml:space="preserve">• </w:t>
      </w:r>
      <w:r w:rsidRPr="00E108D8">
        <w:rPr>
          <w:rFonts w:ascii="Calibri" w:hAnsi="Calibri" w:cs="Calibri"/>
          <w:b/>
          <w:bCs/>
          <w:color w:val="D9D9D9" w:themeColor="background1" w:themeShade="D9"/>
        </w:rPr>
        <w:t>Section 8(5)</w:t>
      </w:r>
      <w:r w:rsidRPr="00E108D8">
        <w:rPr>
          <w:rFonts w:ascii="Calibri" w:hAnsi="Calibri" w:cs="Calibri"/>
          <w:color w:val="D9D9D9" w:themeColor="background1" w:themeShade="D9"/>
        </w:rPr>
        <w:t xml:space="preserve"> </w:t>
      </w:r>
      <w:r w:rsidR="001E2BEA" w:rsidRPr="00E108D8">
        <w:rPr>
          <w:rFonts w:ascii="Calibri" w:hAnsi="Calibri" w:cs="Calibri"/>
          <w:color w:val="D9D9D9" w:themeColor="background1" w:themeShade="D9"/>
        </w:rPr>
        <w:t>-&gt;</w:t>
      </w:r>
      <w:r w:rsidRPr="00E108D8">
        <w:rPr>
          <w:rFonts w:ascii="Calibri" w:hAnsi="Calibri" w:cs="Calibri"/>
          <w:color w:val="D9D9D9" w:themeColor="background1" w:themeShade="D9"/>
        </w:rPr>
        <w:t xml:space="preserve"> Obligation to notify personal data breaches to the Board and affected principals.</w:t>
      </w:r>
      <w:r w:rsidRPr="00E108D8">
        <w:rPr>
          <w:rFonts w:ascii="Calibri" w:hAnsi="Calibri" w:cs="Calibri"/>
          <w:color w:val="D9D9D9" w:themeColor="background1" w:themeShade="D9"/>
        </w:rPr>
        <w:br/>
        <w:t xml:space="preserve">• </w:t>
      </w:r>
      <w:r w:rsidRPr="00E108D8">
        <w:rPr>
          <w:rFonts w:ascii="Calibri" w:hAnsi="Calibri" w:cs="Calibri"/>
          <w:b/>
          <w:bCs/>
          <w:color w:val="D9D9D9" w:themeColor="background1" w:themeShade="D9"/>
        </w:rPr>
        <w:t>Section 16</w:t>
      </w:r>
      <w:r w:rsidRPr="00E108D8">
        <w:rPr>
          <w:rFonts w:ascii="Calibri" w:hAnsi="Calibri" w:cs="Calibri"/>
          <w:color w:val="D9D9D9" w:themeColor="background1" w:themeShade="D9"/>
        </w:rPr>
        <w:t xml:space="preserve"> </w:t>
      </w:r>
      <w:r w:rsidR="001E2BEA" w:rsidRPr="00E108D8">
        <w:rPr>
          <w:rFonts w:ascii="Calibri" w:hAnsi="Calibri" w:cs="Calibri"/>
          <w:color w:val="D9D9D9" w:themeColor="background1" w:themeShade="D9"/>
        </w:rPr>
        <w:t>-&gt;</w:t>
      </w:r>
      <w:r w:rsidRPr="00E108D8">
        <w:rPr>
          <w:rFonts w:ascii="Calibri" w:hAnsi="Calibri" w:cs="Calibri"/>
          <w:color w:val="D9D9D9" w:themeColor="background1" w:themeShade="D9"/>
        </w:rPr>
        <w:t xml:space="preserve"> Additional protections for children (verifiable consent for minors).:</w:t>
      </w:r>
    </w:p>
    <w:sectPr w:rsidR="00E64AC2" w:rsidRPr="00E108D8" w:rsidSect="00E55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854F" w14:textId="77777777" w:rsidR="00B25D5B" w:rsidRDefault="00B25D5B" w:rsidP="00E55388">
      <w:pPr>
        <w:spacing w:after="0" w:line="240" w:lineRule="auto"/>
      </w:pPr>
      <w:r>
        <w:separator/>
      </w:r>
    </w:p>
  </w:endnote>
  <w:endnote w:type="continuationSeparator" w:id="0">
    <w:p w14:paraId="3366A1E8" w14:textId="77777777" w:rsidR="00B25D5B" w:rsidRDefault="00B25D5B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7702" w14:textId="77777777" w:rsidR="00B25D5B" w:rsidRDefault="00B25D5B" w:rsidP="00E55388">
      <w:pPr>
        <w:spacing w:after="0" w:line="240" w:lineRule="auto"/>
      </w:pPr>
      <w:r>
        <w:separator/>
      </w:r>
    </w:p>
  </w:footnote>
  <w:footnote w:type="continuationSeparator" w:id="0">
    <w:p w14:paraId="501461A9" w14:textId="77777777" w:rsidR="00B25D5B" w:rsidRDefault="00B25D5B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783B" w14:textId="77777777" w:rsidR="006B305D" w:rsidRDefault="006B3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A9A1" w14:textId="77777777" w:rsidR="006B305D" w:rsidRDefault="006B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BAD"/>
    <w:multiLevelType w:val="hybridMultilevel"/>
    <w:tmpl w:val="D188D4D4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F31C7"/>
    <w:multiLevelType w:val="hybridMultilevel"/>
    <w:tmpl w:val="279CEF70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53195"/>
    <w:multiLevelType w:val="hybridMultilevel"/>
    <w:tmpl w:val="5A56127C"/>
    <w:lvl w:ilvl="0" w:tplc="CFBA9C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46C5"/>
    <w:multiLevelType w:val="multilevel"/>
    <w:tmpl w:val="8DF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B6DC5"/>
    <w:multiLevelType w:val="hybridMultilevel"/>
    <w:tmpl w:val="C2B8B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E18BF"/>
    <w:multiLevelType w:val="multilevel"/>
    <w:tmpl w:val="3EC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90A26"/>
    <w:multiLevelType w:val="hybridMultilevel"/>
    <w:tmpl w:val="2A406036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2893">
    <w:abstractNumId w:val="4"/>
  </w:num>
  <w:num w:numId="2" w16cid:durableId="1464345687">
    <w:abstractNumId w:val="1"/>
  </w:num>
  <w:num w:numId="3" w16cid:durableId="430123356">
    <w:abstractNumId w:val="6"/>
  </w:num>
  <w:num w:numId="4" w16cid:durableId="1554657225">
    <w:abstractNumId w:val="0"/>
  </w:num>
  <w:num w:numId="5" w16cid:durableId="1081560003">
    <w:abstractNumId w:val="3"/>
  </w:num>
  <w:num w:numId="6" w16cid:durableId="1346900454">
    <w:abstractNumId w:val="5"/>
  </w:num>
  <w:num w:numId="7" w16cid:durableId="142102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13E9F"/>
    <w:rsid w:val="000274E9"/>
    <w:rsid w:val="00063296"/>
    <w:rsid w:val="00082D1B"/>
    <w:rsid w:val="00146FA4"/>
    <w:rsid w:val="001808C0"/>
    <w:rsid w:val="001B49F1"/>
    <w:rsid w:val="001B55A6"/>
    <w:rsid w:val="001E2BEA"/>
    <w:rsid w:val="001F0A11"/>
    <w:rsid w:val="001F7552"/>
    <w:rsid w:val="00234B9C"/>
    <w:rsid w:val="00246A43"/>
    <w:rsid w:val="002605EE"/>
    <w:rsid w:val="002848C7"/>
    <w:rsid w:val="002E21A9"/>
    <w:rsid w:val="002F2FD8"/>
    <w:rsid w:val="00344B35"/>
    <w:rsid w:val="00386611"/>
    <w:rsid w:val="003B0A0D"/>
    <w:rsid w:val="003D4D88"/>
    <w:rsid w:val="0040538C"/>
    <w:rsid w:val="00406E3F"/>
    <w:rsid w:val="00450250"/>
    <w:rsid w:val="0048107F"/>
    <w:rsid w:val="004B06CA"/>
    <w:rsid w:val="004E0B1D"/>
    <w:rsid w:val="004F450F"/>
    <w:rsid w:val="004F757C"/>
    <w:rsid w:val="00521DC6"/>
    <w:rsid w:val="0056263B"/>
    <w:rsid w:val="00591940"/>
    <w:rsid w:val="00597263"/>
    <w:rsid w:val="005F4741"/>
    <w:rsid w:val="00626DA5"/>
    <w:rsid w:val="006536A7"/>
    <w:rsid w:val="006976B8"/>
    <w:rsid w:val="006A40AD"/>
    <w:rsid w:val="006B305D"/>
    <w:rsid w:val="006C67E3"/>
    <w:rsid w:val="006D2C10"/>
    <w:rsid w:val="006F178E"/>
    <w:rsid w:val="006F3691"/>
    <w:rsid w:val="00722EAC"/>
    <w:rsid w:val="00735903"/>
    <w:rsid w:val="007A3CFD"/>
    <w:rsid w:val="007F16CC"/>
    <w:rsid w:val="008C3D6C"/>
    <w:rsid w:val="008C42F0"/>
    <w:rsid w:val="008E480C"/>
    <w:rsid w:val="008F39A7"/>
    <w:rsid w:val="00941762"/>
    <w:rsid w:val="009518E9"/>
    <w:rsid w:val="009E3732"/>
    <w:rsid w:val="009E50CF"/>
    <w:rsid w:val="00A40ED3"/>
    <w:rsid w:val="00A55D29"/>
    <w:rsid w:val="00A55F24"/>
    <w:rsid w:val="00A71C12"/>
    <w:rsid w:val="00AB4182"/>
    <w:rsid w:val="00AC7E5A"/>
    <w:rsid w:val="00AF7882"/>
    <w:rsid w:val="00B056E4"/>
    <w:rsid w:val="00B17467"/>
    <w:rsid w:val="00B25D5B"/>
    <w:rsid w:val="00B2605F"/>
    <w:rsid w:val="00B8654F"/>
    <w:rsid w:val="00B92D7A"/>
    <w:rsid w:val="00B9466E"/>
    <w:rsid w:val="00BA55E9"/>
    <w:rsid w:val="00BC1C6C"/>
    <w:rsid w:val="00BE5D8B"/>
    <w:rsid w:val="00C050C6"/>
    <w:rsid w:val="00C171F2"/>
    <w:rsid w:val="00C75923"/>
    <w:rsid w:val="00CE3B6F"/>
    <w:rsid w:val="00CF7DF6"/>
    <w:rsid w:val="00D35E00"/>
    <w:rsid w:val="00D50FDE"/>
    <w:rsid w:val="00D60ACB"/>
    <w:rsid w:val="00DA2706"/>
    <w:rsid w:val="00DC4CBB"/>
    <w:rsid w:val="00DE696D"/>
    <w:rsid w:val="00E07A5B"/>
    <w:rsid w:val="00E108D8"/>
    <w:rsid w:val="00E53AC9"/>
    <w:rsid w:val="00E55388"/>
    <w:rsid w:val="00E55674"/>
    <w:rsid w:val="00E64AC2"/>
    <w:rsid w:val="00EB3217"/>
    <w:rsid w:val="00ED739E"/>
    <w:rsid w:val="00F10237"/>
    <w:rsid w:val="00F23174"/>
    <w:rsid w:val="00F25D2D"/>
    <w:rsid w:val="00F30805"/>
    <w:rsid w:val="00F45A90"/>
    <w:rsid w:val="00F54A50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E108D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108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108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1372</Characters>
  <Application>Microsoft Office Word</Application>
  <DocSecurity>0</DocSecurity>
  <Lines>29</Lines>
  <Paragraphs>18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24</cp:revision>
  <dcterms:created xsi:type="dcterms:W3CDTF">2025-11-19T12:09:00Z</dcterms:created>
  <dcterms:modified xsi:type="dcterms:W3CDTF">2025-11-21T07:43:00Z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