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CCB3" w14:textId="5FCFF691" w:rsidR="00BE5518" w:rsidRPr="00BE5518" w:rsidRDefault="004B7421" w:rsidP="00BE5518">
      <w:pPr>
        <w:spacing w:line="240" w:lineRule="auto"/>
        <w:jc w:val="center"/>
        <w:rPr>
          <w:rFonts w:ascii="Calibri" w:hAnsi="Calibri" w:cs="Calibri"/>
          <w:b/>
          <w:bCs/>
          <w:lang w:val="en-IN"/>
        </w:rPr>
      </w:pPr>
      <w:r w:rsidRPr="00BE5518">
        <w:rPr>
          <w:rFonts w:ascii="Calibri" w:hAnsi="Calibri" w:cs="Calibri"/>
          <w:b/>
          <w:bCs/>
          <w:lang w:val="en-IN"/>
        </w:rPr>
        <w:t>SOP - CONSENT FORM TEMPLATE (FOR INTERNAL USE)</w:t>
      </w:r>
    </w:p>
    <w:sdt>
      <w:sdtPr>
        <w:id w:val="32764420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60FB79D3" w14:textId="58BA7CDE" w:rsidR="007B2C5F" w:rsidRDefault="007B2C5F">
          <w:pPr>
            <w:pStyle w:val="TOCHeading"/>
          </w:pPr>
          <w:r>
            <w:t>Contents</w:t>
          </w:r>
        </w:p>
        <w:p w14:paraId="34476E94" w14:textId="7FCC6749" w:rsidR="00A455DF" w:rsidRDefault="007B2C5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2355" w:history="1">
            <w:r w:rsidR="00A455DF" w:rsidRPr="00E4619F">
              <w:rPr>
                <w:rStyle w:val="Hyperlink"/>
                <w:b/>
                <w:bCs/>
                <w:noProof/>
                <w:lang w:val="en-IN"/>
              </w:rPr>
              <w:t>DPDP Consent Capture Record (Internal)</w:t>
            </w:r>
            <w:r w:rsidR="00A455DF">
              <w:rPr>
                <w:noProof/>
                <w:webHidden/>
              </w:rPr>
              <w:tab/>
            </w:r>
            <w:r w:rsidR="00A455DF">
              <w:rPr>
                <w:noProof/>
                <w:webHidden/>
              </w:rPr>
              <w:fldChar w:fldCharType="begin"/>
            </w:r>
            <w:r w:rsidR="00A455DF">
              <w:rPr>
                <w:noProof/>
                <w:webHidden/>
              </w:rPr>
              <w:instrText xml:space="preserve"> PAGEREF _Toc214622355 \h </w:instrText>
            </w:r>
            <w:r w:rsidR="00A455DF">
              <w:rPr>
                <w:noProof/>
                <w:webHidden/>
              </w:rPr>
            </w:r>
            <w:r w:rsidR="00A455DF">
              <w:rPr>
                <w:noProof/>
                <w:webHidden/>
              </w:rPr>
              <w:fldChar w:fldCharType="separate"/>
            </w:r>
            <w:r w:rsidR="00A455DF">
              <w:rPr>
                <w:noProof/>
                <w:webHidden/>
              </w:rPr>
              <w:t>1</w:t>
            </w:r>
            <w:r w:rsidR="00A455DF">
              <w:rPr>
                <w:noProof/>
                <w:webHidden/>
              </w:rPr>
              <w:fldChar w:fldCharType="end"/>
            </w:r>
          </w:hyperlink>
        </w:p>
        <w:p w14:paraId="336A0579" w14:textId="1A2D8C82" w:rsidR="00A455DF" w:rsidRDefault="00A455D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214622356" w:history="1">
            <w:r w:rsidRPr="00E4619F">
              <w:rPr>
                <w:rStyle w:val="Hyperlink"/>
                <w:b/>
                <w:bCs/>
                <w:noProof/>
                <w:lang w:val="en-IN"/>
              </w:rPr>
              <w:t>Section 6 – consent invocation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0C768" w14:textId="5EC88D31" w:rsidR="00A455DF" w:rsidRDefault="00A455D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214622357" w:history="1">
            <w:r w:rsidRPr="00E4619F">
              <w:rPr>
                <w:rStyle w:val="Hyperlink"/>
                <w:b/>
                <w:bCs/>
                <w:noProof/>
                <w:lang w:val="en-IN"/>
              </w:rPr>
              <w:t>DPDP SECTION 6 — Consent Invocation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E8917" w14:textId="1FDDC0EA" w:rsidR="00A455DF" w:rsidRDefault="00A455D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214622358" w:history="1">
            <w:r w:rsidRPr="00E4619F">
              <w:rPr>
                <w:rStyle w:val="Hyperlink"/>
                <w:b/>
                <w:bCs/>
                <w:noProof/>
              </w:rPr>
              <w:t>Integrating With Consent Managers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E2CEB" w14:textId="1297CABE" w:rsidR="00A455DF" w:rsidRDefault="00A455D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214622359" w:history="1">
            <w:r w:rsidRPr="00E4619F">
              <w:rPr>
                <w:rStyle w:val="Hyperlink"/>
                <w:b/>
                <w:bCs/>
                <w:noProof/>
                <w:lang w:val="en-IN"/>
              </w:rPr>
              <w:t>Section 7 invocation form (sample)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D8758" w14:textId="7FBE0D0F" w:rsidR="007B2C5F" w:rsidRDefault="007B2C5F">
          <w:r>
            <w:rPr>
              <w:b/>
              <w:bCs/>
              <w:noProof/>
            </w:rPr>
            <w:fldChar w:fldCharType="end"/>
          </w:r>
        </w:p>
      </w:sdtContent>
    </w:sdt>
    <w:p w14:paraId="1ADBD209" w14:textId="77777777" w:rsidR="00BE5518" w:rsidRPr="007B2C5F" w:rsidRDefault="00BE5518" w:rsidP="00CF4153">
      <w:pPr>
        <w:pStyle w:val="Heading1"/>
        <w:rPr>
          <w:b/>
          <w:bCs/>
          <w:sz w:val="28"/>
          <w:szCs w:val="28"/>
          <w:lang w:val="en-IN"/>
        </w:rPr>
      </w:pPr>
      <w:bookmarkStart w:id="0" w:name="_Toc214622355"/>
      <w:r w:rsidRPr="007B2C5F">
        <w:rPr>
          <w:b/>
          <w:bCs/>
          <w:sz w:val="28"/>
          <w:szCs w:val="28"/>
          <w:lang w:val="en-IN"/>
        </w:rPr>
        <w:t>DPDP Consent Capture Record (Internal)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4B7421" w14:paraId="3726264E" w14:textId="77777777" w:rsidTr="00FF7698">
        <w:tc>
          <w:tcPr>
            <w:tcW w:w="3397" w:type="dxa"/>
            <w:vAlign w:val="center"/>
          </w:tcPr>
          <w:p w14:paraId="25F5DEDC" w14:textId="7D662288" w:rsidR="004B7421" w:rsidRDefault="004B7421" w:rsidP="004B7421">
            <w:pPr>
              <w:rPr>
                <w:rFonts w:ascii="Calibri" w:hAnsi="Calibri" w:cs="Calibri"/>
                <w:b/>
                <w:bCs/>
                <w:i/>
                <w:iCs/>
                <w:lang w:val="en-IN"/>
              </w:rPr>
            </w:pPr>
            <w:r w:rsidRPr="00BE5518">
              <w:rPr>
                <w:rFonts w:ascii="Calibri" w:hAnsi="Calibri" w:cs="Calibri"/>
                <w:b/>
                <w:bCs/>
                <w:i/>
                <w:iCs/>
                <w:lang w:val="en-IN"/>
              </w:rPr>
              <w:t>Field</w:t>
            </w:r>
          </w:p>
        </w:tc>
        <w:tc>
          <w:tcPr>
            <w:tcW w:w="5953" w:type="dxa"/>
            <w:vAlign w:val="center"/>
          </w:tcPr>
          <w:p w14:paraId="64735238" w14:textId="5247A787" w:rsidR="004B7421" w:rsidRDefault="004B7421" w:rsidP="004B7421">
            <w:pPr>
              <w:rPr>
                <w:rFonts w:ascii="Calibri" w:hAnsi="Calibri" w:cs="Calibri"/>
                <w:b/>
                <w:bCs/>
                <w:i/>
                <w:iCs/>
                <w:lang w:val="en-IN"/>
              </w:rPr>
            </w:pPr>
            <w:r w:rsidRPr="00BE5518">
              <w:rPr>
                <w:rFonts w:ascii="Calibri" w:hAnsi="Calibri" w:cs="Calibri"/>
                <w:b/>
                <w:bCs/>
                <w:i/>
                <w:iCs/>
                <w:lang w:val="en-IN"/>
              </w:rPr>
              <w:t>Value</w:t>
            </w:r>
          </w:p>
        </w:tc>
      </w:tr>
      <w:tr w:rsidR="004B7421" w14:paraId="40E30E08" w14:textId="77777777" w:rsidTr="00FF7698">
        <w:tc>
          <w:tcPr>
            <w:tcW w:w="3397" w:type="dxa"/>
            <w:vAlign w:val="center"/>
          </w:tcPr>
          <w:p w14:paraId="4D9850C2" w14:textId="21F2C415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  <w:r w:rsidRPr="00BE5518">
              <w:rPr>
                <w:rFonts w:ascii="Calibri" w:hAnsi="Calibri" w:cs="Calibri"/>
                <w:lang w:val="en-IN"/>
              </w:rPr>
              <w:t>DP Name/ID</w:t>
            </w:r>
          </w:p>
        </w:tc>
        <w:tc>
          <w:tcPr>
            <w:tcW w:w="5953" w:type="dxa"/>
            <w:vAlign w:val="center"/>
          </w:tcPr>
          <w:p w14:paraId="675EF4D2" w14:textId="77777777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</w:p>
        </w:tc>
      </w:tr>
      <w:tr w:rsidR="004B7421" w14:paraId="7030C2ED" w14:textId="77777777" w:rsidTr="00FF7698">
        <w:tc>
          <w:tcPr>
            <w:tcW w:w="3397" w:type="dxa"/>
            <w:vAlign w:val="center"/>
          </w:tcPr>
          <w:p w14:paraId="619E1867" w14:textId="79590B87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  <w:r w:rsidRPr="00BE5518">
              <w:rPr>
                <w:rFonts w:ascii="Calibri" w:hAnsi="Calibri" w:cs="Calibri"/>
                <w:lang w:val="en-IN"/>
              </w:rPr>
              <w:t>Purpose of Processing</w:t>
            </w:r>
          </w:p>
        </w:tc>
        <w:tc>
          <w:tcPr>
            <w:tcW w:w="5953" w:type="dxa"/>
            <w:vAlign w:val="center"/>
          </w:tcPr>
          <w:p w14:paraId="091B1CE9" w14:textId="77777777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</w:p>
        </w:tc>
      </w:tr>
      <w:tr w:rsidR="004B7421" w14:paraId="73FE127B" w14:textId="77777777" w:rsidTr="00FF7698">
        <w:tc>
          <w:tcPr>
            <w:tcW w:w="3397" w:type="dxa"/>
            <w:vAlign w:val="center"/>
          </w:tcPr>
          <w:p w14:paraId="19B2E55A" w14:textId="681C3932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  <w:r w:rsidRPr="00BE5518">
              <w:rPr>
                <w:rFonts w:ascii="Calibri" w:hAnsi="Calibri" w:cs="Calibri"/>
                <w:lang w:val="en-IN"/>
              </w:rPr>
              <w:t>Data Categories</w:t>
            </w:r>
          </w:p>
        </w:tc>
        <w:tc>
          <w:tcPr>
            <w:tcW w:w="5953" w:type="dxa"/>
            <w:vAlign w:val="center"/>
          </w:tcPr>
          <w:p w14:paraId="7F156CDB" w14:textId="77777777" w:rsidR="004B7421" w:rsidRPr="008430AC" w:rsidRDefault="004B7421" w:rsidP="004B7421">
            <w:pPr>
              <w:rPr>
                <w:rFonts w:ascii="Calibri" w:hAnsi="Calibri" w:cs="Calibri"/>
                <w:lang w:val="en-IN"/>
              </w:rPr>
            </w:pPr>
          </w:p>
        </w:tc>
      </w:tr>
      <w:tr w:rsidR="0056203F" w:rsidRPr="0056203F" w14:paraId="3CF448E9" w14:textId="77777777" w:rsidTr="00FF7698">
        <w:tc>
          <w:tcPr>
            <w:tcW w:w="3397" w:type="dxa"/>
            <w:vAlign w:val="center"/>
          </w:tcPr>
          <w:p w14:paraId="7517DB83" w14:textId="1DCB1672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Notice Version Shown</w:t>
            </w:r>
          </w:p>
        </w:tc>
        <w:tc>
          <w:tcPr>
            <w:tcW w:w="5953" w:type="dxa"/>
            <w:vAlign w:val="center"/>
          </w:tcPr>
          <w:p w14:paraId="2F4D20E9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  <w:tr w:rsidR="0056203F" w:rsidRPr="0056203F" w14:paraId="59F4C768" w14:textId="77777777" w:rsidTr="00FF7698">
        <w:tc>
          <w:tcPr>
            <w:tcW w:w="3397" w:type="dxa"/>
            <w:vAlign w:val="center"/>
          </w:tcPr>
          <w:p w14:paraId="029DEA51" w14:textId="1328E0BE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Consent Obtained By (UI/API/CM)</w:t>
            </w:r>
          </w:p>
        </w:tc>
        <w:tc>
          <w:tcPr>
            <w:tcW w:w="5953" w:type="dxa"/>
            <w:vAlign w:val="center"/>
          </w:tcPr>
          <w:p w14:paraId="7F32C677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  <w:tr w:rsidR="0056203F" w:rsidRPr="0056203F" w14:paraId="633EA3D8" w14:textId="77777777" w:rsidTr="00FF7698">
        <w:tc>
          <w:tcPr>
            <w:tcW w:w="3397" w:type="dxa"/>
            <w:vAlign w:val="center"/>
          </w:tcPr>
          <w:p w14:paraId="6A55383C" w14:textId="22429DE2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Timestamp</w:t>
            </w:r>
          </w:p>
        </w:tc>
        <w:tc>
          <w:tcPr>
            <w:tcW w:w="5953" w:type="dxa"/>
            <w:vAlign w:val="center"/>
          </w:tcPr>
          <w:p w14:paraId="625B4A4F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  <w:tr w:rsidR="0056203F" w:rsidRPr="0056203F" w14:paraId="627C4722" w14:textId="77777777" w:rsidTr="00FF7698">
        <w:tc>
          <w:tcPr>
            <w:tcW w:w="3397" w:type="dxa"/>
            <w:vAlign w:val="center"/>
          </w:tcPr>
          <w:p w14:paraId="75208BED" w14:textId="70AFBE2A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Affirmative Action Type</w:t>
            </w:r>
          </w:p>
        </w:tc>
        <w:tc>
          <w:tcPr>
            <w:tcW w:w="5953" w:type="dxa"/>
            <w:vAlign w:val="center"/>
          </w:tcPr>
          <w:p w14:paraId="7CA509F7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  <w:tr w:rsidR="0056203F" w:rsidRPr="0056203F" w14:paraId="4BB1454B" w14:textId="77777777" w:rsidTr="00FF7698">
        <w:tc>
          <w:tcPr>
            <w:tcW w:w="3397" w:type="dxa"/>
            <w:vAlign w:val="center"/>
          </w:tcPr>
          <w:p w14:paraId="54C1CDAD" w14:textId="211F5403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Withdrawal Allowed Method</w:t>
            </w:r>
          </w:p>
        </w:tc>
        <w:tc>
          <w:tcPr>
            <w:tcW w:w="5953" w:type="dxa"/>
            <w:vAlign w:val="center"/>
          </w:tcPr>
          <w:p w14:paraId="29FC3606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  <w:tr w:rsidR="0056203F" w:rsidRPr="0056203F" w14:paraId="5BD796C9" w14:textId="77777777" w:rsidTr="00FF7698">
        <w:tc>
          <w:tcPr>
            <w:tcW w:w="3397" w:type="dxa"/>
            <w:vAlign w:val="center"/>
          </w:tcPr>
          <w:p w14:paraId="6ABC222A" w14:textId="49E6A93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  <w:r w:rsidRPr="0056203F">
              <w:rPr>
                <w:rFonts w:ascii="Calibri" w:hAnsi="Calibri" w:cs="Calibri"/>
                <w:color w:val="D9D9D9" w:themeColor="background1" w:themeShade="D9"/>
                <w:lang w:val="en-IN"/>
              </w:rPr>
              <w:t>Processor Sync Completed (Y/N)</w:t>
            </w:r>
          </w:p>
        </w:tc>
        <w:tc>
          <w:tcPr>
            <w:tcW w:w="5953" w:type="dxa"/>
            <w:vAlign w:val="center"/>
          </w:tcPr>
          <w:p w14:paraId="4E778FE1" w14:textId="77777777" w:rsidR="004B7421" w:rsidRPr="0056203F" w:rsidRDefault="004B7421" w:rsidP="004B7421">
            <w:pPr>
              <w:rPr>
                <w:rFonts w:ascii="Calibri" w:hAnsi="Calibri" w:cs="Calibri"/>
                <w:color w:val="D9D9D9" w:themeColor="background1" w:themeShade="D9"/>
                <w:lang w:val="en-IN"/>
              </w:rPr>
            </w:pPr>
          </w:p>
        </w:tc>
      </w:tr>
    </w:tbl>
    <w:p w14:paraId="0112DCDF" w14:textId="77777777" w:rsidR="004B7421" w:rsidRPr="0056203F" w:rsidRDefault="004B7421" w:rsidP="00BE5518">
      <w:pPr>
        <w:spacing w:line="240" w:lineRule="auto"/>
        <w:rPr>
          <w:rFonts w:ascii="Calibri" w:hAnsi="Calibri" w:cs="Calibri"/>
          <w:b/>
          <w:bCs/>
          <w:i/>
          <w:iCs/>
          <w:color w:val="D9D9D9" w:themeColor="background1" w:themeShade="D9"/>
          <w:lang w:val="en-IN"/>
        </w:rPr>
      </w:pPr>
    </w:p>
    <w:p w14:paraId="1431CD40" w14:textId="2CB4AE0A" w:rsidR="00BE5518" w:rsidRPr="0056203F" w:rsidRDefault="007B2C5F" w:rsidP="00BE5518">
      <w:pPr>
        <w:spacing w:line="240" w:lineRule="auto"/>
        <w:rPr>
          <w:rFonts w:ascii="Calibri" w:hAnsi="Calibri" w:cs="Calibri"/>
          <w:b/>
          <w:bCs/>
          <w:i/>
          <w:iCs/>
          <w:color w:val="F2F2F2" w:themeColor="background1" w:themeShade="F2"/>
          <w:lang w:val="en-IN"/>
        </w:rPr>
      </w:pPr>
      <w:bookmarkStart w:id="1" w:name="_Toc214622356"/>
      <w:r w:rsidRPr="0056203F">
        <w:rPr>
          <w:rStyle w:val="Heading1Char"/>
          <w:b/>
          <w:bCs/>
          <w:color w:val="F2F2F2" w:themeColor="background1" w:themeShade="F2"/>
          <w:sz w:val="28"/>
          <w:szCs w:val="28"/>
          <w:lang w:val="en-IN"/>
        </w:rPr>
        <w:t>Section 6 – consent invocation form</w:t>
      </w:r>
      <w:bookmarkEnd w:id="1"/>
      <w:r w:rsidR="00BE5518" w:rsidRPr="0056203F">
        <w:rPr>
          <w:rStyle w:val="Heading1Char"/>
          <w:color w:val="F2F2F2" w:themeColor="background1" w:themeShade="F2"/>
        </w:rPr>
        <w:t xml:space="preserve"> </w:t>
      </w:r>
      <w:r w:rsidR="00BE5518" w:rsidRPr="0056203F">
        <w:rPr>
          <w:rFonts w:ascii="Calibri" w:hAnsi="Calibri" w:cs="Calibri"/>
          <w:b/>
          <w:bCs/>
          <w:i/>
          <w:iCs/>
          <w:color w:val="F2F2F2" w:themeColor="background1" w:themeShade="F2"/>
          <w:lang w:val="en-IN"/>
        </w:rPr>
        <w:t>(Operational Template)</w:t>
      </w:r>
    </w:p>
    <w:p w14:paraId="559BCC0B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2F2F2" w:themeColor="background1" w:themeShade="F2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2F2F2" w:themeColor="background1" w:themeShade="F2"/>
          <w:lang w:val="en-IN"/>
        </w:rPr>
        <w:t>(For use by product, engineering, legal teams before building a consent flow)</w:t>
      </w:r>
    </w:p>
    <w:p w14:paraId="54EF99E3" w14:textId="77777777" w:rsidR="00BE5518" w:rsidRPr="0056203F" w:rsidRDefault="00BE5518" w:rsidP="00A455DF">
      <w:pPr>
        <w:pStyle w:val="Heading1"/>
        <w:rPr>
          <w:b/>
          <w:bCs/>
          <w:color w:val="FFFFFF" w:themeColor="background1"/>
          <w:sz w:val="28"/>
          <w:szCs w:val="28"/>
          <w:lang w:val="en-IN"/>
        </w:rPr>
      </w:pPr>
      <w:bookmarkStart w:id="2" w:name="_Toc214622357"/>
      <w:r w:rsidRPr="0056203F">
        <w:rPr>
          <w:b/>
          <w:bCs/>
          <w:color w:val="FFFFFF" w:themeColor="background1"/>
          <w:sz w:val="28"/>
          <w:szCs w:val="28"/>
          <w:lang w:val="en-IN"/>
        </w:rPr>
        <w:t>DPDP SECTION 6 — Consent Invocation Checklist</w:t>
      </w:r>
      <w:bookmarkEnd w:id="2"/>
    </w:p>
    <w:p w14:paraId="06EF75C8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Purpose:</w:t>
      </w:r>
    </w:p>
    <w:p w14:paraId="2B8624BE" w14:textId="77777777" w:rsidR="00BE5518" w:rsidRPr="0056203F" w:rsidRDefault="00BE5518" w:rsidP="001536D6">
      <w:pPr>
        <w:numPr>
          <w:ilvl w:val="0"/>
          <w:numId w:val="1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Purpose is clearly defined, narrow, and essential (Yes/No)</w:t>
      </w:r>
    </w:p>
    <w:p w14:paraId="543C5182" w14:textId="77777777" w:rsidR="00BE5518" w:rsidRPr="0056203F" w:rsidRDefault="00BE5518" w:rsidP="001536D6">
      <w:pPr>
        <w:numPr>
          <w:ilvl w:val="0"/>
          <w:numId w:val="1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No alternative legal basis available (Yes/No)</w:t>
      </w:r>
    </w:p>
    <w:p w14:paraId="290FC2D1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Data Categories: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>3. Only minimal data collected (Yes/No)</w:t>
      </w:r>
    </w:p>
    <w:p w14:paraId="5CB1968E" w14:textId="77777777" w:rsidR="00BE5518" w:rsidRPr="0056203F" w:rsidRDefault="00BE5518" w:rsidP="00BE5518">
      <w:p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lastRenderedPageBreak/>
        <w:t>Notice Compliance: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>4. Notice contains Rule 3 items (Yes/No)</w:t>
      </w:r>
      <w:r w:rsidRPr="0056203F">
        <w:rPr>
          <w:rFonts w:ascii="Calibri" w:hAnsi="Calibri" w:cs="Calibri"/>
          <w:color w:val="FFFFFF" w:themeColor="background1"/>
          <w:lang w:val="en-IN"/>
        </w:rPr>
        <w:br/>
        <w:t>5. Notice + consent presented together (Yes/No)</w:t>
      </w:r>
    </w:p>
    <w:p w14:paraId="23E99C21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User Control: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>6. Clear affirmative action (Yes/No)</w:t>
      </w:r>
      <w:r w:rsidRPr="0056203F">
        <w:rPr>
          <w:rFonts w:ascii="Calibri" w:hAnsi="Calibri" w:cs="Calibri"/>
          <w:color w:val="FFFFFF" w:themeColor="background1"/>
          <w:lang w:val="en-IN"/>
        </w:rPr>
        <w:br/>
        <w:t>7. No dark patterns or bundled consent (Yes/No)</w:t>
      </w:r>
    </w:p>
    <w:p w14:paraId="54176FF5" w14:textId="77777777" w:rsidR="00BE5518" w:rsidRPr="0056203F" w:rsidRDefault="00BE5518" w:rsidP="00BE5518">
      <w:p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Withdrawal: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>8. Withdrawal UI same ease as giving consent (Yes/No)</w:t>
      </w:r>
      <w:r w:rsidRPr="0056203F">
        <w:rPr>
          <w:rFonts w:ascii="Calibri" w:hAnsi="Calibri" w:cs="Calibri"/>
          <w:color w:val="FFFFFF" w:themeColor="background1"/>
          <w:lang w:val="en-IN"/>
        </w:rPr>
        <w:br/>
        <w:t>9. Backend propagation defined (Yes/No)</w:t>
      </w:r>
    </w:p>
    <w:p w14:paraId="222EFF45" w14:textId="77777777" w:rsidR="00BE5518" w:rsidRPr="0056203F" w:rsidRDefault="00BE5518" w:rsidP="00BE5518">
      <w:p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Recordkeeping: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 xml:space="preserve">10. Consent Ledger entry </w:t>
      </w:r>
      <w:proofErr w:type="gramStart"/>
      <w:r w:rsidRPr="0056203F">
        <w:rPr>
          <w:rFonts w:ascii="Calibri" w:hAnsi="Calibri" w:cs="Calibri"/>
          <w:color w:val="FFFFFF" w:themeColor="background1"/>
          <w:lang w:val="en-IN"/>
        </w:rPr>
        <w:t>auto-created</w:t>
      </w:r>
      <w:proofErr w:type="gramEnd"/>
      <w:r w:rsidRPr="0056203F">
        <w:rPr>
          <w:rFonts w:ascii="Calibri" w:hAnsi="Calibri" w:cs="Calibri"/>
          <w:color w:val="FFFFFF" w:themeColor="background1"/>
          <w:lang w:val="en-IN"/>
        </w:rPr>
        <w:t xml:space="preserve"> (Yes/No)</w:t>
      </w:r>
    </w:p>
    <w:p w14:paraId="0003B7D0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Legal Review: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Calibri" w:hAnsi="Calibri" w:cs="Calibri"/>
          <w:color w:val="FFFFFF" w:themeColor="background1"/>
          <w:lang w:val="en-IN"/>
        </w:rPr>
        <w:t>11. Clause-by-clause validation done (Yes/No)</w:t>
      </w:r>
    </w:p>
    <w:p w14:paraId="29AF4D74" w14:textId="77777777" w:rsidR="00BE5518" w:rsidRPr="0056203F" w:rsidRDefault="00BE5518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Outcome:</w:t>
      </w: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br/>
      </w:r>
      <w:r w:rsidRPr="0056203F">
        <w:rPr>
          <w:rFonts w:ascii="Segoe UI Symbol" w:hAnsi="Segoe UI Symbol" w:cs="Segoe UI Symbol"/>
          <w:color w:val="FFFFFF" w:themeColor="background1"/>
          <w:lang w:val="en-IN"/>
        </w:rPr>
        <w:t>☐</w:t>
      </w:r>
      <w:r w:rsidRPr="0056203F">
        <w:rPr>
          <w:rFonts w:ascii="Calibri" w:hAnsi="Calibri" w:cs="Calibri"/>
          <w:color w:val="FFFFFF" w:themeColor="background1"/>
          <w:lang w:val="en-IN"/>
        </w:rPr>
        <w:t xml:space="preserve"> Approved for Consent</w:t>
      </w:r>
      <w:r w:rsidRPr="0056203F">
        <w:rPr>
          <w:rFonts w:ascii="Calibri" w:hAnsi="Calibri" w:cs="Calibri"/>
          <w:color w:val="FFFFFF" w:themeColor="background1"/>
          <w:lang w:val="en-IN"/>
        </w:rPr>
        <w:br/>
      </w:r>
      <w:r w:rsidRPr="0056203F">
        <w:rPr>
          <w:rFonts w:ascii="Segoe UI Symbol" w:hAnsi="Segoe UI Symbol" w:cs="Segoe UI Symbol"/>
          <w:color w:val="FFFFFF" w:themeColor="background1"/>
          <w:lang w:val="en-IN"/>
        </w:rPr>
        <w:t>☐</w:t>
      </w:r>
      <w:r w:rsidRPr="0056203F">
        <w:rPr>
          <w:rFonts w:ascii="Calibri" w:hAnsi="Calibri" w:cs="Calibri"/>
          <w:color w:val="FFFFFF" w:themeColor="background1"/>
          <w:lang w:val="en-IN"/>
        </w:rPr>
        <w:t xml:space="preserve"> Not Approved → Use Section 7 Legitimate Use</w:t>
      </w:r>
      <w:r w:rsidRPr="0056203F">
        <w:rPr>
          <w:rFonts w:ascii="Calibri" w:hAnsi="Calibri" w:cs="Calibri"/>
          <w:color w:val="FFFFFF" w:themeColor="background1"/>
          <w:lang w:val="en-IN"/>
        </w:rPr>
        <w:br/>
      </w:r>
      <w:r w:rsidRPr="0056203F">
        <w:rPr>
          <w:rFonts w:ascii="Segoe UI Symbol" w:hAnsi="Segoe UI Symbol" w:cs="Segoe UI Symbol"/>
          <w:color w:val="FFFFFF" w:themeColor="background1"/>
          <w:lang w:val="en-IN"/>
        </w:rPr>
        <w:t>☐</w:t>
      </w:r>
      <w:r w:rsidRPr="0056203F">
        <w:rPr>
          <w:rFonts w:ascii="Calibri" w:hAnsi="Calibri" w:cs="Calibri"/>
          <w:color w:val="FFFFFF" w:themeColor="background1"/>
          <w:lang w:val="en-IN"/>
        </w:rPr>
        <w:t xml:space="preserve"> Revision Required</w:t>
      </w:r>
    </w:p>
    <w:p w14:paraId="23DDFB1A" w14:textId="77777777" w:rsidR="00FB4F04" w:rsidRPr="0056203F" w:rsidRDefault="00FB4F04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</w:p>
    <w:p w14:paraId="3A519886" w14:textId="47CD9856" w:rsidR="00FB4F04" w:rsidRPr="0056203F" w:rsidRDefault="00FB4F04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OR</w:t>
      </w:r>
    </w:p>
    <w:p w14:paraId="3A344D88" w14:textId="77777777" w:rsidR="00FB4F04" w:rsidRPr="0056203F" w:rsidRDefault="00FB4F04" w:rsidP="00FB4F04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bookmarkStart w:id="3" w:name="_Toc214622358"/>
      <w:r w:rsidRPr="0056203F">
        <w:rPr>
          <w:rStyle w:val="Heading1Char"/>
          <w:b/>
          <w:bCs/>
          <w:color w:val="FFFFFF" w:themeColor="background1"/>
          <w:sz w:val="28"/>
          <w:szCs w:val="28"/>
        </w:rPr>
        <w:t>Integrating With Consent Managers</w:t>
      </w:r>
      <w:bookmarkEnd w:id="3"/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 xml:space="preserve"> (DF Perspective)</w:t>
      </w:r>
    </w:p>
    <w:p w14:paraId="038F2351" w14:textId="77777777" w:rsidR="00FB4F04" w:rsidRPr="0056203F" w:rsidRDefault="00FB4F04" w:rsidP="00FB4F04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1. Pre-Onboarding</w:t>
      </w:r>
    </w:p>
    <w:p w14:paraId="254A83CA" w14:textId="77777777" w:rsidR="00FB4F04" w:rsidRPr="0056203F" w:rsidRDefault="00FB4F04" w:rsidP="001536D6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Verify CM registration on DPB website</w:t>
      </w:r>
    </w:p>
    <w:p w14:paraId="36AE9A0D" w14:textId="77777777" w:rsidR="00FB4F04" w:rsidRPr="0056203F" w:rsidRDefault="00FB4F04" w:rsidP="001536D6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Review CM’s tech docs: API specs, encryption envelopes, event formats</w:t>
      </w:r>
    </w:p>
    <w:p w14:paraId="6358AB01" w14:textId="77777777" w:rsidR="00FB4F04" w:rsidRPr="0056203F" w:rsidRDefault="00FB4F04" w:rsidP="001536D6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Validate zero-knowledge guarantees</w:t>
      </w:r>
    </w:p>
    <w:p w14:paraId="5BA52DBD" w14:textId="77777777" w:rsidR="00FB4F04" w:rsidRPr="0056203F" w:rsidRDefault="00FB4F04" w:rsidP="00FB4F04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2. Contracting (Mandatory Clauses)</w:t>
      </w:r>
    </w:p>
    <w:p w14:paraId="6AD88679" w14:textId="77777777" w:rsidR="00FB4F04" w:rsidRPr="0056203F" w:rsidRDefault="00FB4F04" w:rsidP="001536D6">
      <w:pPr>
        <w:numPr>
          <w:ilvl w:val="0"/>
          <w:numId w:val="3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SLA for consent/withdrawal routing</w:t>
      </w:r>
    </w:p>
    <w:p w14:paraId="0FABAF7E" w14:textId="77777777" w:rsidR="00FB4F04" w:rsidRPr="0056203F" w:rsidRDefault="00FB4F04" w:rsidP="001536D6">
      <w:pPr>
        <w:numPr>
          <w:ilvl w:val="0"/>
          <w:numId w:val="3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Time sync (NTP) to avoid disputes</w:t>
      </w:r>
    </w:p>
    <w:p w14:paraId="48783F07" w14:textId="77777777" w:rsidR="00FB4F04" w:rsidRPr="0056203F" w:rsidRDefault="00FB4F04" w:rsidP="001536D6">
      <w:pPr>
        <w:numPr>
          <w:ilvl w:val="0"/>
          <w:numId w:val="3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Breach notification channel</w:t>
      </w:r>
    </w:p>
    <w:p w14:paraId="4816C99B" w14:textId="77777777" w:rsidR="00FB4F04" w:rsidRPr="0056203F" w:rsidRDefault="00FB4F04" w:rsidP="001536D6">
      <w:pPr>
        <w:numPr>
          <w:ilvl w:val="0"/>
          <w:numId w:val="3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Logs sharing (metadata only)</w:t>
      </w:r>
    </w:p>
    <w:p w14:paraId="2D4125E3" w14:textId="77777777" w:rsidR="00FB4F04" w:rsidRPr="0056203F" w:rsidRDefault="00FB4F04" w:rsidP="001536D6">
      <w:pPr>
        <w:numPr>
          <w:ilvl w:val="0"/>
          <w:numId w:val="3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COI declarations monthly</w:t>
      </w:r>
    </w:p>
    <w:p w14:paraId="3757427E" w14:textId="77777777" w:rsidR="00FB4F04" w:rsidRPr="0056203F" w:rsidRDefault="00FB4F04" w:rsidP="00FB4F04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3. Technical Integration</w:t>
      </w:r>
    </w:p>
    <w:p w14:paraId="299EAB20" w14:textId="77777777" w:rsidR="00FB4F04" w:rsidRPr="0056203F" w:rsidRDefault="00FB4F04" w:rsidP="001536D6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lastRenderedPageBreak/>
        <w:t>Consent webhook → triggers: allow/deny/delete</w:t>
      </w:r>
    </w:p>
    <w:p w14:paraId="4717ABD0" w14:textId="77777777" w:rsidR="00FB4F04" w:rsidRPr="0056203F" w:rsidRDefault="00FB4F04" w:rsidP="001536D6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Withdrawal webhook → overrides cached consents</w:t>
      </w:r>
    </w:p>
    <w:p w14:paraId="72272573" w14:textId="77777777" w:rsidR="00FB4F04" w:rsidRPr="0056203F" w:rsidRDefault="00FB4F04" w:rsidP="001536D6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Immutable logging → DF must maintain independent logs</w:t>
      </w:r>
    </w:p>
    <w:p w14:paraId="62D49347" w14:textId="77777777" w:rsidR="00FB4F04" w:rsidRPr="0056203F" w:rsidRDefault="00FB4F04" w:rsidP="001536D6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CM signature validation using public key rotation</w:t>
      </w:r>
    </w:p>
    <w:p w14:paraId="1022F738" w14:textId="77777777" w:rsidR="00FB4F04" w:rsidRPr="0056203F" w:rsidRDefault="00FB4F04" w:rsidP="00FB4F04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  <w:t>4. DP Experience Alignment</w:t>
      </w:r>
    </w:p>
    <w:p w14:paraId="2872CC74" w14:textId="77777777" w:rsidR="00FB4F04" w:rsidRPr="0056203F" w:rsidRDefault="00FB4F04" w:rsidP="001536D6">
      <w:pPr>
        <w:numPr>
          <w:ilvl w:val="0"/>
          <w:numId w:val="5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Notices must still be provided by DF (not CM)</w:t>
      </w:r>
    </w:p>
    <w:p w14:paraId="571A3EF4" w14:textId="77777777" w:rsidR="00FB4F04" w:rsidRPr="0056203F" w:rsidRDefault="00FB4F04" w:rsidP="001536D6">
      <w:pPr>
        <w:numPr>
          <w:ilvl w:val="0"/>
          <w:numId w:val="5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Auto-sync withdrawal across dependent systems</w:t>
      </w:r>
    </w:p>
    <w:p w14:paraId="24EDF50D" w14:textId="77777777" w:rsidR="00FB4F04" w:rsidRPr="0056203F" w:rsidRDefault="00FB4F04" w:rsidP="001536D6">
      <w:pPr>
        <w:numPr>
          <w:ilvl w:val="0"/>
          <w:numId w:val="5"/>
        </w:num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DSAR integration: CM logs must be included if relevant</w:t>
      </w:r>
    </w:p>
    <w:p w14:paraId="18BD67C8" w14:textId="6F8FCAF7" w:rsidR="00FB4F04" w:rsidRPr="0056203F" w:rsidRDefault="007B2C5F" w:rsidP="00A455DF">
      <w:pPr>
        <w:pStyle w:val="Heading1"/>
        <w:rPr>
          <w:b/>
          <w:bCs/>
          <w:color w:val="FFFFFF" w:themeColor="background1"/>
          <w:sz w:val="28"/>
          <w:szCs w:val="28"/>
          <w:lang w:val="en-IN"/>
        </w:rPr>
      </w:pPr>
      <w:bookmarkStart w:id="4" w:name="_Toc214622359"/>
      <w:r w:rsidRPr="0056203F">
        <w:rPr>
          <w:b/>
          <w:bCs/>
          <w:color w:val="FFFFFF" w:themeColor="background1"/>
          <w:sz w:val="28"/>
          <w:szCs w:val="28"/>
          <w:lang w:val="en-IN"/>
        </w:rPr>
        <w:t>Section 7 invocation form (sample)</w:t>
      </w:r>
      <w:bookmarkEnd w:id="4"/>
    </w:p>
    <w:p w14:paraId="3543225F" w14:textId="77777777" w:rsidR="00FB4F04" w:rsidRPr="0056203F" w:rsidRDefault="00FB4F04" w:rsidP="00FB4F04">
      <w:pPr>
        <w:spacing w:line="240" w:lineRule="auto"/>
        <w:rPr>
          <w:rFonts w:ascii="Calibri" w:hAnsi="Calibri" w:cs="Calibri"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(Useful because Section 7(b) interacts indirectly with CM workflows when government data is pulled.)</w:t>
      </w:r>
    </w:p>
    <w:p w14:paraId="54B4D3FA" w14:textId="56CB2DCB" w:rsidR="00FB4F04" w:rsidRPr="0056203F" w:rsidRDefault="00FB4F04" w:rsidP="00BE5518">
      <w:pPr>
        <w:spacing w:line="240" w:lineRule="auto"/>
        <w:rPr>
          <w:rFonts w:ascii="Calibri" w:hAnsi="Calibri" w:cs="Calibri"/>
          <w:b/>
          <w:bCs/>
          <w:i/>
          <w:iCs/>
          <w:color w:val="FFFFFF" w:themeColor="background1"/>
          <w:lang w:val="en-IN"/>
        </w:rPr>
      </w:pPr>
      <w:r w:rsidRPr="0056203F">
        <w:rPr>
          <w:rFonts w:ascii="Calibri" w:hAnsi="Calibri" w:cs="Calibri"/>
          <w:color w:val="FFFFFF" w:themeColor="background1"/>
          <w:lang w:val="en-IN"/>
        </w:rPr>
        <w:t>Section 7 Invocation Form — Legitimate Use Processing (DPDP Act)</w:t>
      </w:r>
      <w:r w:rsidRPr="0056203F">
        <w:rPr>
          <w:rFonts w:ascii="Calibri" w:hAnsi="Calibri" w:cs="Calibri"/>
          <w:color w:val="FFFFFF" w:themeColor="background1"/>
          <w:lang w:val="en-IN"/>
        </w:rPr>
        <w:br/>
        <w:t>Data Fiduciary: ___________________________</w:t>
      </w:r>
      <w:r w:rsidRPr="0056203F">
        <w:rPr>
          <w:rFonts w:ascii="Calibri" w:hAnsi="Calibri" w:cs="Calibri"/>
          <w:color w:val="FFFFFF" w:themeColor="background1"/>
          <w:lang w:val="en-IN"/>
        </w:rPr>
        <w:br/>
      </w:r>
    </w:p>
    <w:sectPr w:rsidR="00FB4F04" w:rsidRPr="0056203F" w:rsidSect="00E5538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812A" w14:textId="77777777" w:rsidR="00B2605F" w:rsidRDefault="00B2605F" w:rsidP="00E55388">
      <w:pPr>
        <w:spacing w:after="0" w:line="240" w:lineRule="auto"/>
      </w:pPr>
      <w:r>
        <w:separator/>
      </w:r>
    </w:p>
  </w:endnote>
  <w:endnote w:type="continuationSeparator" w:id="0">
    <w:p w14:paraId="3CE0628D" w14:textId="77777777" w:rsidR="00B2605F" w:rsidRDefault="00B2605F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D16F" w14:textId="77777777" w:rsidR="00B2605F" w:rsidRDefault="00B2605F" w:rsidP="00E55388">
      <w:pPr>
        <w:spacing w:after="0" w:line="240" w:lineRule="auto"/>
      </w:pPr>
      <w:r>
        <w:separator/>
      </w:r>
    </w:p>
  </w:footnote>
  <w:footnote w:type="continuationSeparator" w:id="0">
    <w:p w14:paraId="6043A895" w14:textId="77777777" w:rsidR="00B2605F" w:rsidRDefault="00B2605F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EA6"/>
    <w:multiLevelType w:val="multilevel"/>
    <w:tmpl w:val="2D1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3788"/>
    <w:multiLevelType w:val="multilevel"/>
    <w:tmpl w:val="579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86B0C"/>
    <w:multiLevelType w:val="multilevel"/>
    <w:tmpl w:val="E33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B6B73"/>
    <w:multiLevelType w:val="multilevel"/>
    <w:tmpl w:val="D2BE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C1B4B"/>
    <w:multiLevelType w:val="multilevel"/>
    <w:tmpl w:val="6842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510B9"/>
    <w:multiLevelType w:val="multilevel"/>
    <w:tmpl w:val="69B2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754579">
    <w:abstractNumId w:val="3"/>
  </w:num>
  <w:num w:numId="2" w16cid:durableId="1856336617">
    <w:abstractNumId w:val="1"/>
  </w:num>
  <w:num w:numId="3" w16cid:durableId="1492477470">
    <w:abstractNumId w:val="2"/>
  </w:num>
  <w:num w:numId="4" w16cid:durableId="1555507362">
    <w:abstractNumId w:val="4"/>
  </w:num>
  <w:num w:numId="5" w16cid:durableId="1894268371">
    <w:abstractNumId w:val="5"/>
  </w:num>
  <w:num w:numId="6" w16cid:durableId="10923552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047E1"/>
    <w:rsid w:val="00005103"/>
    <w:rsid w:val="00013E9F"/>
    <w:rsid w:val="000274E9"/>
    <w:rsid w:val="0004000E"/>
    <w:rsid w:val="00063296"/>
    <w:rsid w:val="00077C9B"/>
    <w:rsid w:val="00082D1B"/>
    <w:rsid w:val="00082F0A"/>
    <w:rsid w:val="00120AC4"/>
    <w:rsid w:val="001404F4"/>
    <w:rsid w:val="00146FA4"/>
    <w:rsid w:val="001502F9"/>
    <w:rsid w:val="001536D6"/>
    <w:rsid w:val="00164FCA"/>
    <w:rsid w:val="001808C0"/>
    <w:rsid w:val="00190AA1"/>
    <w:rsid w:val="001A7E39"/>
    <w:rsid w:val="001B49F1"/>
    <w:rsid w:val="001B55A6"/>
    <w:rsid w:val="001E2BEA"/>
    <w:rsid w:val="001F0A11"/>
    <w:rsid w:val="001F7552"/>
    <w:rsid w:val="00234B9C"/>
    <w:rsid w:val="00242204"/>
    <w:rsid w:val="00244D75"/>
    <w:rsid w:val="00246A43"/>
    <w:rsid w:val="002605EE"/>
    <w:rsid w:val="002848C7"/>
    <w:rsid w:val="002B6B95"/>
    <w:rsid w:val="002E21A9"/>
    <w:rsid w:val="002F2FD8"/>
    <w:rsid w:val="003037C6"/>
    <w:rsid w:val="0031554B"/>
    <w:rsid w:val="00326F1B"/>
    <w:rsid w:val="00344B35"/>
    <w:rsid w:val="00386611"/>
    <w:rsid w:val="003B0A0D"/>
    <w:rsid w:val="003D4D88"/>
    <w:rsid w:val="003D7118"/>
    <w:rsid w:val="0040538C"/>
    <w:rsid w:val="00406E3F"/>
    <w:rsid w:val="00457533"/>
    <w:rsid w:val="00462855"/>
    <w:rsid w:val="0048107F"/>
    <w:rsid w:val="004B06CA"/>
    <w:rsid w:val="004B7421"/>
    <w:rsid w:val="004E0B1D"/>
    <w:rsid w:val="004F450F"/>
    <w:rsid w:val="004F757C"/>
    <w:rsid w:val="005109F7"/>
    <w:rsid w:val="00521DC6"/>
    <w:rsid w:val="0056203F"/>
    <w:rsid w:val="0056263B"/>
    <w:rsid w:val="00591940"/>
    <w:rsid w:val="00597263"/>
    <w:rsid w:val="005C221B"/>
    <w:rsid w:val="005F4741"/>
    <w:rsid w:val="0060298E"/>
    <w:rsid w:val="00626DA5"/>
    <w:rsid w:val="00627566"/>
    <w:rsid w:val="006536A7"/>
    <w:rsid w:val="00660301"/>
    <w:rsid w:val="006976B8"/>
    <w:rsid w:val="006A40AD"/>
    <w:rsid w:val="006C67E3"/>
    <w:rsid w:val="006D2C10"/>
    <w:rsid w:val="006D450C"/>
    <w:rsid w:val="006D7747"/>
    <w:rsid w:val="006F178E"/>
    <w:rsid w:val="006F3691"/>
    <w:rsid w:val="007037E6"/>
    <w:rsid w:val="00722EAC"/>
    <w:rsid w:val="00735903"/>
    <w:rsid w:val="007A3CFD"/>
    <w:rsid w:val="007B2C5F"/>
    <w:rsid w:val="007F16CC"/>
    <w:rsid w:val="008034CF"/>
    <w:rsid w:val="00811F5C"/>
    <w:rsid w:val="008430AC"/>
    <w:rsid w:val="008C3D6C"/>
    <w:rsid w:val="008C42F0"/>
    <w:rsid w:val="008E480C"/>
    <w:rsid w:val="008F39A7"/>
    <w:rsid w:val="00941762"/>
    <w:rsid w:val="009518E9"/>
    <w:rsid w:val="00971A13"/>
    <w:rsid w:val="009E3732"/>
    <w:rsid w:val="009E50CF"/>
    <w:rsid w:val="00A3085C"/>
    <w:rsid w:val="00A40ED3"/>
    <w:rsid w:val="00A455DF"/>
    <w:rsid w:val="00A542B0"/>
    <w:rsid w:val="00A55D29"/>
    <w:rsid w:val="00A55F24"/>
    <w:rsid w:val="00A679C5"/>
    <w:rsid w:val="00A71C12"/>
    <w:rsid w:val="00AB4182"/>
    <w:rsid w:val="00AC7E5A"/>
    <w:rsid w:val="00AD7900"/>
    <w:rsid w:val="00AF7882"/>
    <w:rsid w:val="00B056E4"/>
    <w:rsid w:val="00B17467"/>
    <w:rsid w:val="00B2605F"/>
    <w:rsid w:val="00B61155"/>
    <w:rsid w:val="00B8654F"/>
    <w:rsid w:val="00B92D7A"/>
    <w:rsid w:val="00BA55E9"/>
    <w:rsid w:val="00BC1C6C"/>
    <w:rsid w:val="00BC7EC6"/>
    <w:rsid w:val="00BE2E69"/>
    <w:rsid w:val="00BE5518"/>
    <w:rsid w:val="00BE5D8B"/>
    <w:rsid w:val="00C050C6"/>
    <w:rsid w:val="00C171F2"/>
    <w:rsid w:val="00C623D1"/>
    <w:rsid w:val="00C75923"/>
    <w:rsid w:val="00CE3B6F"/>
    <w:rsid w:val="00CF4153"/>
    <w:rsid w:val="00CF7DF6"/>
    <w:rsid w:val="00D35E00"/>
    <w:rsid w:val="00DA2706"/>
    <w:rsid w:val="00DA7FBA"/>
    <w:rsid w:val="00DC4CBB"/>
    <w:rsid w:val="00DD0D9D"/>
    <w:rsid w:val="00DE696D"/>
    <w:rsid w:val="00E07A5B"/>
    <w:rsid w:val="00E53AC9"/>
    <w:rsid w:val="00E55388"/>
    <w:rsid w:val="00E55674"/>
    <w:rsid w:val="00E64AC2"/>
    <w:rsid w:val="00EB3217"/>
    <w:rsid w:val="00ED739E"/>
    <w:rsid w:val="00EF25CC"/>
    <w:rsid w:val="00F10237"/>
    <w:rsid w:val="00F25D2D"/>
    <w:rsid w:val="00F30805"/>
    <w:rsid w:val="00F45A90"/>
    <w:rsid w:val="00F54A50"/>
    <w:rsid w:val="00F57965"/>
    <w:rsid w:val="00FB16B8"/>
    <w:rsid w:val="00FB4F04"/>
    <w:rsid w:val="00FC395E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C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B2C5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B2C5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B2C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302F-AB00-48C1-8762-33BAB10B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2429</Characters>
  <Application>Microsoft Office Word</Application>
  <DocSecurity>0</DocSecurity>
  <Lines>89</Lines>
  <Paragraphs>58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3</cp:revision>
  <dcterms:created xsi:type="dcterms:W3CDTF">2025-11-21T07:30:00Z</dcterms:created>
  <dcterms:modified xsi:type="dcterms:W3CDTF">2025-11-21T07:31:00Z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