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7EEB" w14:textId="47C328CD" w:rsidR="007F16CC" w:rsidRPr="00E64AC2" w:rsidRDefault="00F57965" w:rsidP="008034CF">
      <w:pPr>
        <w:spacing w:line="240" w:lineRule="auto"/>
        <w:jc w:val="center"/>
        <w:rPr>
          <w:rFonts w:ascii="Calibri" w:hAnsi="Calibri" w:cs="Calibri"/>
          <w:b/>
          <w:bCs/>
          <w:lang w:val="en-IN"/>
        </w:rPr>
      </w:pPr>
      <w:r w:rsidRPr="00F57965">
        <w:rPr>
          <w:rFonts w:ascii="Calibri" w:hAnsi="Calibri" w:cs="Calibri"/>
          <w:b/>
          <w:bCs/>
        </w:rPr>
        <w:t>SOP FOR DATA SUBJECT ACCESS REQUEST HANDLING</w:t>
      </w:r>
    </w:p>
    <w:sdt>
      <w:sdtPr>
        <w:id w:val="49731115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57B8EC47" w14:textId="5A086331" w:rsidR="00D6636B" w:rsidRDefault="00D6636B">
          <w:pPr>
            <w:pStyle w:val="TOCHeading"/>
          </w:pPr>
          <w:r>
            <w:t>Contents</w:t>
          </w:r>
        </w:p>
        <w:p w14:paraId="616E8C19" w14:textId="5396B77D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3496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1.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18A80" w14:textId="1540B75F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497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2.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B2E28" w14:textId="77654F48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498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3.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6B6AF" w14:textId="72E72334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499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4. DSAR Workflow (7 Stages)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B1EAF" w14:textId="00C9C7C7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0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RIGHTS REJECTION TEMPLATES (DPDPA-ALIGNED)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4E184" w14:textId="58E984C8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1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Sample documents to include in sop package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C326F" w14:textId="0810F784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2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Data principal request (DSAR) intake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7AFFA" w14:textId="6F73CDA0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3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IDENTITY VERIFICATION PROCEDURE (DPDPA-Compliant)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6FA24" w14:textId="684AEADD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4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ACCESS RESPONSE TEMPLATE (Section 11)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6F545" w14:textId="18222D07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5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2. CORRECTION / UPDATION RESPONSE TEMPLATE (Section 12)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C28C4" w14:textId="3D9A23F5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6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3. ERASURE RESPONSE TEMPLATE (Section 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4B2BB" w14:textId="203126B6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7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4. GRIEVANCE RESPONSE TEMPLATE (Section 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98D5F" w14:textId="515AE2DB" w:rsidR="00D6636B" w:rsidRDefault="00D6636B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508" w:history="1">
            <w:r w:rsidRPr="003F4F2C">
              <w:rPr>
                <w:rStyle w:val="Hyperlink"/>
                <w:b/>
                <w:bCs/>
                <w:noProof/>
                <w:lang w:val="en-IN"/>
              </w:rPr>
              <w:t>5. NOMINATION RESPONSE TEMPLATE (Section 14)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D35E2" w14:textId="26BDCA58" w:rsidR="00D6636B" w:rsidRDefault="00D6636B">
          <w:r>
            <w:rPr>
              <w:b/>
              <w:bCs/>
              <w:noProof/>
            </w:rPr>
            <w:fldChar w:fldCharType="end"/>
          </w:r>
        </w:p>
      </w:sdtContent>
    </w:sdt>
    <w:p w14:paraId="76619D0C" w14:textId="77777777" w:rsidR="002B6B95" w:rsidRPr="00D6636B" w:rsidRDefault="002B6B95" w:rsidP="00D6636B">
      <w:pPr>
        <w:pStyle w:val="Heading1"/>
        <w:rPr>
          <w:b/>
          <w:bCs/>
          <w:sz w:val="28"/>
          <w:szCs w:val="28"/>
          <w:lang w:val="en-IN"/>
        </w:rPr>
      </w:pPr>
      <w:bookmarkStart w:id="0" w:name="_Toc214623496"/>
      <w:r w:rsidRPr="00D6636B">
        <w:rPr>
          <w:b/>
          <w:bCs/>
          <w:sz w:val="28"/>
          <w:szCs w:val="28"/>
          <w:lang w:val="en-IN"/>
        </w:rPr>
        <w:t>1. Purpose</w:t>
      </w:r>
      <w:bookmarkEnd w:id="0"/>
    </w:p>
    <w:p w14:paraId="19D2C8FA" w14:textId="77777777" w:rsidR="002B6B95" w:rsidRPr="002B6B95" w:rsidRDefault="002B6B95" w:rsidP="00C623D1">
      <w:pPr>
        <w:spacing w:line="240" w:lineRule="auto"/>
        <w:rPr>
          <w:rFonts w:ascii="Calibri" w:hAnsi="Calibri" w:cs="Calibri"/>
          <w:i/>
          <w:iCs/>
          <w:lang w:val="en-IN"/>
        </w:rPr>
      </w:pPr>
      <w:r w:rsidRPr="002B6B95">
        <w:rPr>
          <w:rFonts w:ascii="Calibri" w:hAnsi="Calibri" w:cs="Calibri"/>
          <w:i/>
          <w:iCs/>
          <w:lang w:val="en-IN"/>
        </w:rPr>
        <w:t xml:space="preserve">Define procedures to receive, verify, respond, </w:t>
      </w:r>
      <w:proofErr w:type="spellStart"/>
      <w:r w:rsidRPr="002B6B95">
        <w:rPr>
          <w:rFonts w:ascii="Calibri" w:hAnsi="Calibri" w:cs="Calibri"/>
          <w:i/>
          <w:iCs/>
          <w:lang w:val="en-IN"/>
        </w:rPr>
        <w:t>fulfill</w:t>
      </w:r>
      <w:proofErr w:type="spellEnd"/>
      <w:r w:rsidRPr="002B6B95">
        <w:rPr>
          <w:rFonts w:ascii="Calibri" w:hAnsi="Calibri" w:cs="Calibri"/>
          <w:i/>
          <w:iCs/>
          <w:lang w:val="en-IN"/>
        </w:rPr>
        <w:t>, deny, and document all Rights of Data Principals under DPDPA.</w:t>
      </w:r>
    </w:p>
    <w:p w14:paraId="0C46ED2E" w14:textId="77777777" w:rsidR="002B6B95" w:rsidRPr="00D6636B" w:rsidRDefault="002B6B95" w:rsidP="00D6636B">
      <w:pPr>
        <w:pStyle w:val="Heading1"/>
        <w:rPr>
          <w:b/>
          <w:bCs/>
          <w:sz w:val="28"/>
          <w:szCs w:val="28"/>
          <w:lang w:val="en-IN"/>
        </w:rPr>
      </w:pPr>
      <w:bookmarkStart w:id="1" w:name="_Toc214623497"/>
      <w:r w:rsidRPr="00D6636B">
        <w:rPr>
          <w:b/>
          <w:bCs/>
          <w:sz w:val="28"/>
          <w:szCs w:val="28"/>
          <w:lang w:val="en-IN"/>
        </w:rPr>
        <w:t>2. Scope</w:t>
      </w:r>
      <w:bookmarkEnd w:id="1"/>
    </w:p>
    <w:p w14:paraId="1805AF3E" w14:textId="5DAB21DA" w:rsidR="002B6B95" w:rsidRPr="002B6B95" w:rsidRDefault="002B6B95" w:rsidP="00C623D1">
      <w:pPr>
        <w:spacing w:line="240" w:lineRule="auto"/>
        <w:rPr>
          <w:rFonts w:ascii="Calibri" w:hAnsi="Calibri" w:cs="Calibri"/>
          <w:i/>
          <w:iCs/>
          <w:lang w:val="en-IN"/>
        </w:rPr>
      </w:pPr>
      <w:r w:rsidRPr="002B6B95">
        <w:rPr>
          <w:rFonts w:ascii="Calibri" w:hAnsi="Calibri" w:cs="Calibri"/>
          <w:i/>
          <w:iCs/>
          <w:lang w:val="en-IN"/>
        </w:rPr>
        <w:t>Applies to:</w:t>
      </w:r>
      <w:r w:rsidRPr="002B6B95">
        <w:rPr>
          <w:rFonts w:ascii="Calibri" w:hAnsi="Calibri" w:cs="Calibri"/>
          <w:i/>
          <w:iCs/>
          <w:lang w:val="en-IN"/>
        </w:rPr>
        <w:br/>
        <w:t>• All Data Fiduciary teams (IT, Security, Ops, Customer Support, HR, Legal)</w:t>
      </w:r>
      <w:r w:rsidRPr="002B6B95">
        <w:rPr>
          <w:rFonts w:ascii="Calibri" w:hAnsi="Calibri" w:cs="Calibri"/>
          <w:i/>
          <w:iCs/>
          <w:lang w:val="en-IN"/>
        </w:rPr>
        <w:br/>
        <w:t>• All rights under Sec 11</w:t>
      </w:r>
      <w:r w:rsidR="006D7747">
        <w:rPr>
          <w:rFonts w:ascii="Calibri" w:hAnsi="Calibri" w:cs="Calibri"/>
          <w:i/>
          <w:iCs/>
          <w:lang w:val="en-IN"/>
        </w:rPr>
        <w:t>-</w:t>
      </w:r>
      <w:r w:rsidRPr="002B6B95">
        <w:rPr>
          <w:rFonts w:ascii="Calibri" w:hAnsi="Calibri" w:cs="Calibri"/>
          <w:i/>
          <w:iCs/>
          <w:lang w:val="en-IN"/>
        </w:rPr>
        <w:t>14 (Access, Correction, Erasure, Grievance, Nomination)</w:t>
      </w:r>
    </w:p>
    <w:p w14:paraId="55C65A67" w14:textId="77777777" w:rsidR="002B6B95" w:rsidRPr="00D6636B" w:rsidRDefault="002B6B95" w:rsidP="00D6636B">
      <w:pPr>
        <w:pStyle w:val="Heading1"/>
        <w:rPr>
          <w:b/>
          <w:bCs/>
          <w:sz w:val="28"/>
          <w:szCs w:val="28"/>
          <w:lang w:val="en-IN"/>
        </w:rPr>
      </w:pPr>
      <w:bookmarkStart w:id="2" w:name="_Toc214623498"/>
      <w:r w:rsidRPr="00D6636B">
        <w:rPr>
          <w:b/>
          <w:bCs/>
          <w:sz w:val="28"/>
          <w:szCs w:val="28"/>
          <w:lang w:val="en-IN"/>
        </w:rPr>
        <w:t>3. Definitions</w:t>
      </w:r>
      <w:bookmarkEnd w:id="2"/>
    </w:p>
    <w:p w14:paraId="35870C44" w14:textId="596F957D" w:rsidR="002B6B95" w:rsidRPr="002B6B95" w:rsidRDefault="002B6B95" w:rsidP="00C623D1">
      <w:pPr>
        <w:spacing w:line="240" w:lineRule="auto"/>
        <w:rPr>
          <w:rFonts w:ascii="Calibri" w:hAnsi="Calibri" w:cs="Calibri"/>
          <w:i/>
          <w:iCs/>
          <w:lang w:val="en-IN"/>
        </w:rPr>
      </w:pPr>
      <w:r w:rsidRPr="002B6B95">
        <w:rPr>
          <w:rFonts w:ascii="Calibri" w:hAnsi="Calibri" w:cs="Calibri"/>
          <w:i/>
          <w:iCs/>
          <w:lang w:val="en-IN"/>
        </w:rPr>
        <w:t xml:space="preserve">• DSAR / DPR </w:t>
      </w:r>
      <w:r w:rsidR="0060298E">
        <w:rPr>
          <w:rFonts w:ascii="Calibri" w:hAnsi="Calibri" w:cs="Calibri"/>
          <w:i/>
          <w:iCs/>
          <w:lang w:val="en-IN"/>
        </w:rPr>
        <w:t>-&gt;</w:t>
      </w:r>
      <w:r w:rsidRPr="002B6B95">
        <w:rPr>
          <w:rFonts w:ascii="Calibri" w:hAnsi="Calibri" w:cs="Calibri"/>
          <w:i/>
          <w:iCs/>
          <w:lang w:val="en-IN"/>
        </w:rPr>
        <w:t xml:space="preserve"> Data Principal Request</w:t>
      </w:r>
      <w:r w:rsidRPr="002B6B95">
        <w:rPr>
          <w:rFonts w:ascii="Calibri" w:hAnsi="Calibri" w:cs="Calibri"/>
          <w:i/>
          <w:iCs/>
          <w:lang w:val="en-IN"/>
        </w:rPr>
        <w:br/>
        <w:t xml:space="preserve">• DF </w:t>
      </w:r>
      <w:r w:rsidR="0060298E">
        <w:rPr>
          <w:rFonts w:ascii="Calibri" w:hAnsi="Calibri" w:cs="Calibri"/>
          <w:i/>
          <w:iCs/>
          <w:lang w:val="en-IN"/>
        </w:rPr>
        <w:t>-&gt;</w:t>
      </w:r>
      <w:r w:rsidRPr="002B6B95">
        <w:rPr>
          <w:rFonts w:ascii="Calibri" w:hAnsi="Calibri" w:cs="Calibri"/>
          <w:i/>
          <w:iCs/>
          <w:lang w:val="en-IN"/>
        </w:rPr>
        <w:t xml:space="preserve"> Data Fiduciary</w:t>
      </w:r>
      <w:r w:rsidRPr="002B6B95">
        <w:rPr>
          <w:rFonts w:ascii="Calibri" w:hAnsi="Calibri" w:cs="Calibri"/>
          <w:i/>
          <w:iCs/>
          <w:lang w:val="en-IN"/>
        </w:rPr>
        <w:br/>
        <w:t xml:space="preserve">• DPO/Privacy Officer </w:t>
      </w:r>
      <w:r w:rsidR="0060298E">
        <w:rPr>
          <w:rFonts w:ascii="Calibri" w:hAnsi="Calibri" w:cs="Calibri"/>
          <w:i/>
          <w:iCs/>
          <w:lang w:val="en-IN"/>
        </w:rPr>
        <w:t>-&gt;</w:t>
      </w:r>
      <w:r w:rsidRPr="002B6B95">
        <w:rPr>
          <w:rFonts w:ascii="Calibri" w:hAnsi="Calibri" w:cs="Calibri"/>
          <w:i/>
          <w:iCs/>
          <w:lang w:val="en-IN"/>
        </w:rPr>
        <w:t xml:space="preserve"> Designated official</w:t>
      </w:r>
      <w:r w:rsidRPr="002B6B95">
        <w:rPr>
          <w:rFonts w:ascii="Calibri" w:hAnsi="Calibri" w:cs="Calibri"/>
          <w:i/>
          <w:iCs/>
          <w:lang w:val="en-IN"/>
        </w:rPr>
        <w:br/>
        <w:t xml:space="preserve">• TAT </w:t>
      </w:r>
      <w:r w:rsidR="0060298E">
        <w:rPr>
          <w:rFonts w:ascii="Calibri" w:hAnsi="Calibri" w:cs="Calibri"/>
          <w:i/>
          <w:iCs/>
          <w:lang w:val="en-IN"/>
        </w:rPr>
        <w:t>-&gt;</w:t>
      </w:r>
      <w:r w:rsidRPr="002B6B95">
        <w:rPr>
          <w:rFonts w:ascii="Calibri" w:hAnsi="Calibri" w:cs="Calibri"/>
          <w:i/>
          <w:iCs/>
          <w:lang w:val="en-IN"/>
        </w:rPr>
        <w:t xml:space="preserve"> ≤ 90 days under DPDPA</w:t>
      </w:r>
    </w:p>
    <w:p w14:paraId="0CFD72E1" w14:textId="6DAAD2A5" w:rsidR="002B6B95" w:rsidRPr="00D6636B" w:rsidRDefault="002B6B95" w:rsidP="00D6636B">
      <w:pPr>
        <w:pStyle w:val="Heading1"/>
        <w:rPr>
          <w:b/>
          <w:bCs/>
          <w:sz w:val="28"/>
          <w:szCs w:val="28"/>
          <w:lang w:val="en-IN"/>
        </w:rPr>
      </w:pPr>
      <w:bookmarkStart w:id="3" w:name="_Toc214623499"/>
      <w:r w:rsidRPr="00D6636B">
        <w:rPr>
          <w:b/>
          <w:bCs/>
          <w:sz w:val="28"/>
          <w:szCs w:val="28"/>
          <w:lang w:val="en-IN"/>
        </w:rPr>
        <w:lastRenderedPageBreak/>
        <w:t>4. DSAR Workflow (7 Stages</w:t>
      </w:r>
      <w:r w:rsidR="001502F9" w:rsidRPr="00D6636B">
        <w:rPr>
          <w:b/>
          <w:bCs/>
          <w:sz w:val="28"/>
          <w:szCs w:val="28"/>
          <w:lang w:val="en-IN"/>
        </w:rPr>
        <w:t>)</w:t>
      </w:r>
      <w:bookmarkEnd w:id="3"/>
      <w:r w:rsidR="001502F9" w:rsidRPr="00D6636B">
        <w:rPr>
          <w:b/>
          <w:bCs/>
          <w:sz w:val="28"/>
          <w:szCs w:val="28"/>
          <w:lang w:val="en-IN"/>
        </w:rPr>
        <w:t xml:space="preserve"> </w:t>
      </w:r>
    </w:p>
    <w:p w14:paraId="722CD1EA" w14:textId="50F40E66" w:rsidR="002B6B95" w:rsidRPr="002B6B95" w:rsidRDefault="002B6B95" w:rsidP="00C623D1">
      <w:pPr>
        <w:spacing w:line="240" w:lineRule="auto"/>
        <w:rPr>
          <w:rFonts w:ascii="Calibri" w:hAnsi="Calibri" w:cs="Calibri"/>
          <w:b/>
          <w:bCs/>
          <w:i/>
          <w:iCs/>
          <w:lang w:val="en-IN"/>
        </w:rPr>
      </w:pPr>
      <w:r w:rsidRPr="002B6B95">
        <w:rPr>
          <w:rFonts w:ascii="Calibri" w:hAnsi="Calibri" w:cs="Calibri"/>
          <w:b/>
          <w:bCs/>
          <w:i/>
          <w:iCs/>
          <w:lang w:val="en-IN"/>
        </w:rPr>
        <w:t xml:space="preserve">Stage 1 </w:t>
      </w:r>
      <w:r w:rsidR="00BE2E69">
        <w:rPr>
          <w:rFonts w:ascii="Calibri" w:hAnsi="Calibri" w:cs="Calibri"/>
          <w:b/>
          <w:bCs/>
          <w:i/>
          <w:iCs/>
          <w:lang w:val="en-IN"/>
        </w:rPr>
        <w:t>-</w:t>
      </w:r>
      <w:r w:rsidRPr="002B6B95">
        <w:rPr>
          <w:rFonts w:ascii="Calibri" w:hAnsi="Calibri" w:cs="Calibri"/>
          <w:b/>
          <w:bCs/>
          <w:i/>
          <w:iCs/>
          <w:lang w:val="en-IN"/>
        </w:rPr>
        <w:t xml:space="preserve"> Intake &amp; Logging</w:t>
      </w:r>
    </w:p>
    <w:p w14:paraId="3C7DF658" w14:textId="4276323F" w:rsidR="002B6B95" w:rsidRPr="00D6636B" w:rsidRDefault="002B6B95" w:rsidP="00C623D1">
      <w:pPr>
        <w:spacing w:line="240" w:lineRule="auto"/>
        <w:rPr>
          <w:rFonts w:ascii="Calibri" w:hAnsi="Calibri" w:cs="Calibri"/>
          <w:i/>
          <w:iCs/>
          <w:color w:val="D9D9D9" w:themeColor="background1" w:themeShade="D9"/>
          <w:lang w:val="en-IN"/>
        </w:rPr>
      </w:pPr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t xml:space="preserve">• Accept </w:t>
      </w:r>
      <w:proofErr w:type="gramStart"/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t>via:</w:t>
      </w:r>
      <w:proofErr w:type="gramEnd"/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t xml:space="preserve"> app, email, portal, postal address</w:t>
      </w:r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br/>
        <w:t>(As published under Rule 14)</w:t>
      </w:r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br/>
        <w:t>• Auto</w:t>
      </w:r>
      <w:r w:rsidR="00BE2E69"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t>-</w:t>
      </w:r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t xml:space="preserve">acknowledge within </w:t>
      </w:r>
      <w:r w:rsidRPr="00D6636B">
        <w:rPr>
          <w:rFonts w:ascii="Calibri" w:hAnsi="Calibri" w:cs="Calibri"/>
          <w:b/>
          <w:bCs/>
          <w:i/>
          <w:iCs/>
          <w:color w:val="D9D9D9" w:themeColor="background1" w:themeShade="D9"/>
          <w:lang w:val="en-IN"/>
        </w:rPr>
        <w:t>24</w:t>
      </w:r>
      <w:r w:rsidR="006D7747" w:rsidRPr="00D6636B">
        <w:rPr>
          <w:rFonts w:ascii="Calibri" w:hAnsi="Calibri" w:cs="Calibri"/>
          <w:b/>
          <w:bCs/>
          <w:i/>
          <w:iCs/>
          <w:color w:val="D9D9D9" w:themeColor="background1" w:themeShade="D9"/>
          <w:lang w:val="en-IN"/>
        </w:rPr>
        <w:t>-</w:t>
      </w:r>
      <w:r w:rsidRPr="00D6636B">
        <w:rPr>
          <w:rFonts w:ascii="Calibri" w:hAnsi="Calibri" w:cs="Calibri"/>
          <w:b/>
          <w:bCs/>
          <w:i/>
          <w:iCs/>
          <w:color w:val="D9D9D9" w:themeColor="background1" w:themeShade="D9"/>
          <w:lang w:val="en-IN"/>
        </w:rPr>
        <w:t>48 hours</w:t>
      </w:r>
      <w:r w:rsidRPr="00D6636B">
        <w:rPr>
          <w:rFonts w:ascii="Calibri" w:hAnsi="Calibri" w:cs="Calibri"/>
          <w:i/>
          <w:iCs/>
          <w:color w:val="D9D9D9" w:themeColor="background1" w:themeShade="D9"/>
          <w:lang w:val="en-IN"/>
        </w:rPr>
        <w:br/>
        <w:t>• Assign ticket ID, timestamp</w:t>
      </w:r>
    </w:p>
    <w:sectPr w:rsidR="002B6B95" w:rsidRPr="00D6636B" w:rsidSect="00E55388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0A18" w14:textId="77777777" w:rsidR="00A51F8D" w:rsidRDefault="00A51F8D" w:rsidP="00E55388">
      <w:pPr>
        <w:spacing w:after="0" w:line="240" w:lineRule="auto"/>
      </w:pPr>
      <w:r>
        <w:separator/>
      </w:r>
    </w:p>
  </w:endnote>
  <w:endnote w:type="continuationSeparator" w:id="0">
    <w:p w14:paraId="0FC9A6BF" w14:textId="77777777" w:rsidR="00A51F8D" w:rsidRDefault="00A51F8D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887C" w14:textId="77777777" w:rsidR="00A51F8D" w:rsidRDefault="00A51F8D" w:rsidP="00E55388">
      <w:pPr>
        <w:spacing w:after="0" w:line="240" w:lineRule="auto"/>
      </w:pPr>
      <w:r>
        <w:separator/>
      </w:r>
    </w:p>
  </w:footnote>
  <w:footnote w:type="continuationSeparator" w:id="0">
    <w:p w14:paraId="7062BA6A" w14:textId="77777777" w:rsidR="00A51F8D" w:rsidRDefault="00A51F8D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BAD"/>
    <w:multiLevelType w:val="hybridMultilevel"/>
    <w:tmpl w:val="D188D4D4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775FA"/>
    <w:multiLevelType w:val="multilevel"/>
    <w:tmpl w:val="ADC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B8E"/>
    <w:multiLevelType w:val="multilevel"/>
    <w:tmpl w:val="4E2C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A0448"/>
    <w:multiLevelType w:val="multilevel"/>
    <w:tmpl w:val="D86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F31C7"/>
    <w:multiLevelType w:val="hybridMultilevel"/>
    <w:tmpl w:val="279CEF70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714D5"/>
    <w:multiLevelType w:val="multilevel"/>
    <w:tmpl w:val="C00C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195"/>
    <w:multiLevelType w:val="hybridMultilevel"/>
    <w:tmpl w:val="5A56127C"/>
    <w:lvl w:ilvl="0" w:tplc="CFBA9C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6227"/>
    <w:multiLevelType w:val="multilevel"/>
    <w:tmpl w:val="994C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E46C5"/>
    <w:multiLevelType w:val="multilevel"/>
    <w:tmpl w:val="8DF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74054"/>
    <w:multiLevelType w:val="multilevel"/>
    <w:tmpl w:val="27D2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66E09"/>
    <w:multiLevelType w:val="multilevel"/>
    <w:tmpl w:val="26F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42A10"/>
    <w:multiLevelType w:val="multilevel"/>
    <w:tmpl w:val="C2CC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A1CB6"/>
    <w:multiLevelType w:val="multilevel"/>
    <w:tmpl w:val="585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2443"/>
    <w:multiLevelType w:val="multilevel"/>
    <w:tmpl w:val="B07C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B6DC5"/>
    <w:multiLevelType w:val="hybridMultilevel"/>
    <w:tmpl w:val="C2B8B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51B3C"/>
    <w:multiLevelType w:val="multilevel"/>
    <w:tmpl w:val="F88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E18BF"/>
    <w:multiLevelType w:val="multilevel"/>
    <w:tmpl w:val="3EC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6080D"/>
    <w:multiLevelType w:val="multilevel"/>
    <w:tmpl w:val="19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0860BC"/>
    <w:multiLevelType w:val="multilevel"/>
    <w:tmpl w:val="ADFA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040B0"/>
    <w:multiLevelType w:val="multilevel"/>
    <w:tmpl w:val="E47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90A26"/>
    <w:multiLevelType w:val="hybridMultilevel"/>
    <w:tmpl w:val="2A406036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A0E15"/>
    <w:multiLevelType w:val="hybridMultilevel"/>
    <w:tmpl w:val="CE40F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A5B50"/>
    <w:multiLevelType w:val="multilevel"/>
    <w:tmpl w:val="9D4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B65BBD"/>
    <w:multiLevelType w:val="multilevel"/>
    <w:tmpl w:val="70F6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242893">
    <w:abstractNumId w:val="14"/>
  </w:num>
  <w:num w:numId="2" w16cid:durableId="1464345687">
    <w:abstractNumId w:val="4"/>
  </w:num>
  <w:num w:numId="3" w16cid:durableId="430123356">
    <w:abstractNumId w:val="20"/>
  </w:num>
  <w:num w:numId="4" w16cid:durableId="1554657225">
    <w:abstractNumId w:val="0"/>
  </w:num>
  <w:num w:numId="5" w16cid:durableId="1081560003">
    <w:abstractNumId w:val="8"/>
  </w:num>
  <w:num w:numId="6" w16cid:durableId="1346900454">
    <w:abstractNumId w:val="16"/>
  </w:num>
  <w:num w:numId="7" w16cid:durableId="1421022331">
    <w:abstractNumId w:val="6"/>
  </w:num>
  <w:num w:numId="8" w16cid:durableId="1215580534">
    <w:abstractNumId w:val="21"/>
  </w:num>
  <w:num w:numId="9" w16cid:durableId="761266962">
    <w:abstractNumId w:val="22"/>
  </w:num>
  <w:num w:numId="10" w16cid:durableId="2112356497">
    <w:abstractNumId w:val="18"/>
  </w:num>
  <w:num w:numId="11" w16cid:durableId="113452226">
    <w:abstractNumId w:val="19"/>
  </w:num>
  <w:num w:numId="12" w16cid:durableId="738409521">
    <w:abstractNumId w:val="15"/>
  </w:num>
  <w:num w:numId="13" w16cid:durableId="177694486">
    <w:abstractNumId w:val="17"/>
  </w:num>
  <w:num w:numId="14" w16cid:durableId="807167597">
    <w:abstractNumId w:val="1"/>
  </w:num>
  <w:num w:numId="15" w16cid:durableId="454523750">
    <w:abstractNumId w:val="12"/>
  </w:num>
  <w:num w:numId="16" w16cid:durableId="1182744704">
    <w:abstractNumId w:val="10"/>
  </w:num>
  <w:num w:numId="17" w16cid:durableId="1632133971">
    <w:abstractNumId w:val="9"/>
  </w:num>
  <w:num w:numId="18" w16cid:durableId="936983432">
    <w:abstractNumId w:val="11"/>
  </w:num>
  <w:num w:numId="19" w16cid:durableId="1944339388">
    <w:abstractNumId w:val="5"/>
  </w:num>
  <w:num w:numId="20" w16cid:durableId="847215594">
    <w:abstractNumId w:val="13"/>
  </w:num>
  <w:num w:numId="21" w16cid:durableId="138037993">
    <w:abstractNumId w:val="7"/>
  </w:num>
  <w:num w:numId="22" w16cid:durableId="287392382">
    <w:abstractNumId w:val="23"/>
  </w:num>
  <w:num w:numId="23" w16cid:durableId="114688529">
    <w:abstractNumId w:val="3"/>
  </w:num>
  <w:num w:numId="24" w16cid:durableId="122043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047E1"/>
    <w:rsid w:val="00013E9F"/>
    <w:rsid w:val="000274E9"/>
    <w:rsid w:val="00063296"/>
    <w:rsid w:val="00077C9B"/>
    <w:rsid w:val="00082D1B"/>
    <w:rsid w:val="001404F4"/>
    <w:rsid w:val="00146FA4"/>
    <w:rsid w:val="001502F9"/>
    <w:rsid w:val="001808C0"/>
    <w:rsid w:val="001A7E39"/>
    <w:rsid w:val="001B49F1"/>
    <w:rsid w:val="001B55A6"/>
    <w:rsid w:val="001E2BEA"/>
    <w:rsid w:val="001F0A11"/>
    <w:rsid w:val="001F7552"/>
    <w:rsid w:val="00234B9C"/>
    <w:rsid w:val="00246A43"/>
    <w:rsid w:val="002605EE"/>
    <w:rsid w:val="002848C7"/>
    <w:rsid w:val="002B6B95"/>
    <w:rsid w:val="002E21A9"/>
    <w:rsid w:val="002F2FD8"/>
    <w:rsid w:val="00326F1B"/>
    <w:rsid w:val="00344B35"/>
    <w:rsid w:val="00386611"/>
    <w:rsid w:val="003B0A0D"/>
    <w:rsid w:val="003D4D88"/>
    <w:rsid w:val="003D7118"/>
    <w:rsid w:val="0040538C"/>
    <w:rsid w:val="00406E3F"/>
    <w:rsid w:val="0048107F"/>
    <w:rsid w:val="004B06CA"/>
    <w:rsid w:val="004E0B1D"/>
    <w:rsid w:val="004F450F"/>
    <w:rsid w:val="004F757C"/>
    <w:rsid w:val="00521DC6"/>
    <w:rsid w:val="0056263B"/>
    <w:rsid w:val="00591940"/>
    <w:rsid w:val="00597263"/>
    <w:rsid w:val="005F4741"/>
    <w:rsid w:val="0060298E"/>
    <w:rsid w:val="00626DA5"/>
    <w:rsid w:val="00627566"/>
    <w:rsid w:val="006536A7"/>
    <w:rsid w:val="00660301"/>
    <w:rsid w:val="006976B8"/>
    <w:rsid w:val="006A40AD"/>
    <w:rsid w:val="006C67E3"/>
    <w:rsid w:val="006D2C10"/>
    <w:rsid w:val="006D450C"/>
    <w:rsid w:val="006D7747"/>
    <w:rsid w:val="006F178E"/>
    <w:rsid w:val="006F3691"/>
    <w:rsid w:val="00722EAC"/>
    <w:rsid w:val="00735903"/>
    <w:rsid w:val="007A3CFD"/>
    <w:rsid w:val="007F16CC"/>
    <w:rsid w:val="008034CF"/>
    <w:rsid w:val="008C3D6C"/>
    <w:rsid w:val="008C42F0"/>
    <w:rsid w:val="008E480C"/>
    <w:rsid w:val="008F39A7"/>
    <w:rsid w:val="00941762"/>
    <w:rsid w:val="009518E9"/>
    <w:rsid w:val="009E3732"/>
    <w:rsid w:val="009E50CF"/>
    <w:rsid w:val="00A3085C"/>
    <w:rsid w:val="00A40ED3"/>
    <w:rsid w:val="00A51F8D"/>
    <w:rsid w:val="00A542B0"/>
    <w:rsid w:val="00A55D29"/>
    <w:rsid w:val="00A55F24"/>
    <w:rsid w:val="00A71C12"/>
    <w:rsid w:val="00AB4182"/>
    <w:rsid w:val="00AC7E5A"/>
    <w:rsid w:val="00AD7900"/>
    <w:rsid w:val="00AF7882"/>
    <w:rsid w:val="00B056E4"/>
    <w:rsid w:val="00B17467"/>
    <w:rsid w:val="00B2605F"/>
    <w:rsid w:val="00B61155"/>
    <w:rsid w:val="00B8654F"/>
    <w:rsid w:val="00B92D7A"/>
    <w:rsid w:val="00BA55E9"/>
    <w:rsid w:val="00BC1C6C"/>
    <w:rsid w:val="00BE2E69"/>
    <w:rsid w:val="00BE5D8B"/>
    <w:rsid w:val="00C050C6"/>
    <w:rsid w:val="00C171F2"/>
    <w:rsid w:val="00C623D1"/>
    <w:rsid w:val="00C75923"/>
    <w:rsid w:val="00CE3B6F"/>
    <w:rsid w:val="00CF7DF6"/>
    <w:rsid w:val="00D35E00"/>
    <w:rsid w:val="00D6636B"/>
    <w:rsid w:val="00DA2706"/>
    <w:rsid w:val="00DA7FBA"/>
    <w:rsid w:val="00DC4CBB"/>
    <w:rsid w:val="00DE696D"/>
    <w:rsid w:val="00E07A5B"/>
    <w:rsid w:val="00E53AC9"/>
    <w:rsid w:val="00E55388"/>
    <w:rsid w:val="00E55674"/>
    <w:rsid w:val="00E55BBB"/>
    <w:rsid w:val="00E64AC2"/>
    <w:rsid w:val="00EB3217"/>
    <w:rsid w:val="00ED739E"/>
    <w:rsid w:val="00EF25CC"/>
    <w:rsid w:val="00F10237"/>
    <w:rsid w:val="00F25D2D"/>
    <w:rsid w:val="00F30805"/>
    <w:rsid w:val="00F45A90"/>
    <w:rsid w:val="00F54A50"/>
    <w:rsid w:val="00F57965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D6636B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6636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63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1759</Characters>
  <Application>Microsoft Office Word</Application>
  <DocSecurity>0</DocSecurity>
  <Lines>76</Lines>
  <Paragraphs>57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24</cp:revision>
  <dcterms:created xsi:type="dcterms:W3CDTF">2025-11-19T15:28:00Z</dcterms:created>
  <dcterms:modified xsi:type="dcterms:W3CDTF">2025-11-21T07:48:00Z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